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F8" w:rsidRDefault="00FA42BA">
      <w:pPr>
        <w:rPr>
          <w:color w:val="1A1A1A"/>
          <w:sz w:val="20"/>
          <w:szCs w:val="20"/>
        </w:rPr>
      </w:pPr>
      <w:r>
        <w:rPr>
          <w:b/>
          <w:color w:val="1A1A1A"/>
          <w:sz w:val="24"/>
          <w:szCs w:val="24"/>
        </w:rPr>
        <w:t xml:space="preserve">POLITICA Y CIUDADANIA  5°F                      </w:t>
      </w:r>
      <w:r>
        <w:rPr>
          <w:b/>
          <w:color w:val="1A1A1A"/>
          <w:sz w:val="20"/>
          <w:szCs w:val="20"/>
        </w:rPr>
        <w:t xml:space="preserve"> </w:t>
      </w:r>
      <w:proofErr w:type="spellStart"/>
      <w:r>
        <w:rPr>
          <w:color w:val="1A1A1A"/>
          <w:sz w:val="20"/>
          <w:szCs w:val="20"/>
        </w:rPr>
        <w:t>prof</w:t>
      </w:r>
      <w:proofErr w:type="spellEnd"/>
      <w:r>
        <w:rPr>
          <w:color w:val="1A1A1A"/>
          <w:sz w:val="20"/>
          <w:szCs w:val="20"/>
        </w:rPr>
        <w:t xml:space="preserve"> </w:t>
      </w:r>
      <w:proofErr w:type="spellStart"/>
      <w:r>
        <w:rPr>
          <w:color w:val="1A1A1A"/>
          <w:sz w:val="20"/>
          <w:szCs w:val="20"/>
        </w:rPr>
        <w:t>Ghigliazza</w:t>
      </w:r>
      <w:proofErr w:type="spellEnd"/>
      <w:r>
        <w:rPr>
          <w:color w:val="1A1A1A"/>
          <w:sz w:val="20"/>
          <w:szCs w:val="20"/>
        </w:rPr>
        <w:t xml:space="preserve"> Norma</w:t>
      </w:r>
    </w:p>
    <w:p w:rsidR="00835AF8" w:rsidRDefault="00FA42BA">
      <w:pPr>
        <w:rPr>
          <w:b/>
          <w:color w:val="1A1A1A"/>
          <w:sz w:val="24"/>
          <w:szCs w:val="24"/>
        </w:rPr>
      </w:pPr>
      <w:r>
        <w:rPr>
          <w:b/>
          <w:color w:val="1A1A1A"/>
          <w:sz w:val="24"/>
          <w:szCs w:val="24"/>
        </w:rPr>
        <w:t xml:space="preserve"> </w:t>
      </w:r>
    </w:p>
    <w:p w:rsidR="00835AF8" w:rsidRDefault="00FA42BA">
      <w:pPr>
        <w:rPr>
          <w:color w:val="1A1A1A"/>
          <w:sz w:val="24"/>
          <w:szCs w:val="24"/>
          <w:u w:val="single"/>
        </w:rPr>
      </w:pPr>
      <w:r>
        <w:rPr>
          <w:color w:val="1A1A1A"/>
          <w:sz w:val="24"/>
          <w:szCs w:val="24"/>
        </w:rPr>
        <w:t xml:space="preserve">                         </w:t>
      </w:r>
      <w:r>
        <w:rPr>
          <w:color w:val="1A1A1A"/>
          <w:sz w:val="24"/>
          <w:szCs w:val="24"/>
          <w:u w:val="single"/>
        </w:rPr>
        <w:t>El papel de las mujeres y la lucha por la igualdad</w:t>
      </w:r>
    </w:p>
    <w:p w:rsidR="00835AF8" w:rsidRDefault="00FA42BA">
      <w:pPr>
        <w:rPr>
          <w:b/>
          <w:color w:val="1A1A1A"/>
          <w:sz w:val="24"/>
          <w:szCs w:val="24"/>
        </w:rPr>
      </w:pPr>
      <w:r>
        <w:rPr>
          <w:b/>
          <w:color w:val="1A1A1A"/>
          <w:sz w:val="24"/>
          <w:szCs w:val="24"/>
        </w:rPr>
        <w:t xml:space="preserve"> </w:t>
      </w:r>
    </w:p>
    <w:p w:rsidR="00835AF8" w:rsidRDefault="00FA42BA">
      <w:pPr>
        <w:rPr>
          <w:color w:val="1A1A1A"/>
        </w:rPr>
      </w:pPr>
      <w:r>
        <w:rPr>
          <w:color w:val="1A1A1A"/>
        </w:rPr>
        <w:t>En octubre de 2016, el brutal asesinato de la adolescente Lucía Pérez disparó la primera huelga de mujeres en la Argentina. La acción tiene antecedentes en todo el mundo: hace muchos años, las finlandesas también pararon para manifestarse por la igualdad.</w:t>
      </w:r>
    </w:p>
    <w:p w:rsidR="00835AF8" w:rsidRDefault="00FA42BA">
      <w:r>
        <w:t xml:space="preserve"> </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 xml:space="preserve">Tras la primera huelga de mujeres, que se realizó de 13 a 14, una imponente multitud vestida de negro marchó bajo una intensa lluvia desde el Obelisco a Plaza de Mayo. La movilización contra los </w:t>
      </w:r>
      <w:proofErr w:type="spellStart"/>
      <w:r>
        <w:rPr>
          <w:rFonts w:ascii="Times New Roman" w:eastAsia="Times New Roman" w:hAnsi="Times New Roman" w:cs="Times New Roman"/>
          <w:i/>
          <w:color w:val="1A1A1A"/>
          <w:sz w:val="24"/>
          <w:szCs w:val="24"/>
        </w:rPr>
        <w:t>femicidios</w:t>
      </w:r>
      <w:proofErr w:type="spellEnd"/>
      <w:r>
        <w:rPr>
          <w:rFonts w:ascii="Times New Roman" w:eastAsia="Times New Roman" w:hAnsi="Times New Roman" w:cs="Times New Roman"/>
          <w:i/>
          <w:color w:val="1A1A1A"/>
          <w:sz w:val="24"/>
          <w:szCs w:val="24"/>
        </w:rPr>
        <w:t xml:space="preserve"> y la violencia machista, bajo las consignas #</w:t>
      </w:r>
      <w:proofErr w:type="spellStart"/>
      <w:r>
        <w:rPr>
          <w:rFonts w:ascii="Times New Roman" w:eastAsia="Times New Roman" w:hAnsi="Times New Roman" w:cs="Times New Roman"/>
          <w:i/>
          <w:color w:val="1A1A1A"/>
          <w:sz w:val="24"/>
          <w:szCs w:val="24"/>
        </w:rPr>
        <w:t>Nos</w:t>
      </w:r>
      <w:r>
        <w:rPr>
          <w:rFonts w:ascii="Times New Roman" w:eastAsia="Times New Roman" w:hAnsi="Times New Roman" w:cs="Times New Roman"/>
          <w:i/>
          <w:color w:val="1A1A1A"/>
          <w:sz w:val="24"/>
          <w:szCs w:val="24"/>
        </w:rPr>
        <w:t>otrasParamos</w:t>
      </w:r>
      <w:proofErr w:type="spellEnd"/>
      <w:r>
        <w:rPr>
          <w:rFonts w:ascii="Times New Roman" w:eastAsia="Times New Roman" w:hAnsi="Times New Roman" w:cs="Times New Roman"/>
          <w:i/>
          <w:color w:val="1A1A1A"/>
          <w:sz w:val="24"/>
          <w:szCs w:val="24"/>
        </w:rPr>
        <w:t xml:space="preserve"> #</w:t>
      </w:r>
      <w:proofErr w:type="spellStart"/>
      <w:r>
        <w:rPr>
          <w:rFonts w:ascii="Times New Roman" w:eastAsia="Times New Roman" w:hAnsi="Times New Roman" w:cs="Times New Roman"/>
          <w:i/>
          <w:color w:val="1A1A1A"/>
          <w:sz w:val="24"/>
          <w:szCs w:val="24"/>
        </w:rPr>
        <w:t>NiUnaMenos</w:t>
      </w:r>
      <w:proofErr w:type="spellEnd"/>
      <w:r>
        <w:rPr>
          <w:rFonts w:ascii="Times New Roman" w:eastAsia="Times New Roman" w:hAnsi="Times New Roman" w:cs="Times New Roman"/>
          <w:i/>
          <w:color w:val="1A1A1A"/>
          <w:sz w:val="24"/>
          <w:szCs w:val="24"/>
        </w:rPr>
        <w:t xml:space="preserve"> y #</w:t>
      </w:r>
      <w:proofErr w:type="spellStart"/>
      <w:r>
        <w:rPr>
          <w:rFonts w:ascii="Times New Roman" w:eastAsia="Times New Roman" w:hAnsi="Times New Roman" w:cs="Times New Roman"/>
          <w:i/>
          <w:color w:val="1A1A1A"/>
          <w:sz w:val="24"/>
          <w:szCs w:val="24"/>
        </w:rPr>
        <w:t>VivasNosQueremos</w:t>
      </w:r>
      <w:proofErr w:type="spellEnd"/>
      <w:r>
        <w:rPr>
          <w:rFonts w:ascii="Times New Roman" w:eastAsia="Times New Roman" w:hAnsi="Times New Roman" w:cs="Times New Roman"/>
          <w:i/>
          <w:color w:val="1A1A1A"/>
          <w:sz w:val="24"/>
          <w:szCs w:val="24"/>
        </w:rPr>
        <w:t>, se replicó en todas las ciudades del país.</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La columna colmó la Diagonal Norte en su trayecto hasta la Plaza, con carteles en reclamo de justicia por la joven marplatense Lucía Pérez, banderas violetas y consign</w:t>
      </w:r>
      <w:r>
        <w:rPr>
          <w:rFonts w:ascii="Times New Roman" w:eastAsia="Times New Roman" w:hAnsi="Times New Roman" w:cs="Times New Roman"/>
          <w:i/>
          <w:color w:val="1A1A1A"/>
          <w:sz w:val="24"/>
          <w:szCs w:val="24"/>
        </w:rPr>
        <w:t>as contra la violencia de género, en una impresionante movilización dominada por vestimentas negras. “Un día ya no tendré miedo de morir por tu machismo”, agregaba otro cartel, exhibido junto a familiares de víctimas con las fotos de sus hijas.</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 xml:space="preserve">En 2015 se </w:t>
      </w:r>
      <w:r>
        <w:rPr>
          <w:rFonts w:ascii="Times New Roman" w:eastAsia="Times New Roman" w:hAnsi="Times New Roman" w:cs="Times New Roman"/>
          <w:i/>
          <w:color w:val="1A1A1A"/>
          <w:sz w:val="24"/>
          <w:szCs w:val="24"/>
        </w:rPr>
        <w:t xml:space="preserve">perpetraron 286 </w:t>
      </w:r>
      <w:proofErr w:type="spellStart"/>
      <w:r>
        <w:rPr>
          <w:rFonts w:ascii="Times New Roman" w:eastAsia="Times New Roman" w:hAnsi="Times New Roman" w:cs="Times New Roman"/>
          <w:i/>
          <w:color w:val="1A1A1A"/>
          <w:sz w:val="24"/>
          <w:szCs w:val="24"/>
        </w:rPr>
        <w:t>femicidios</w:t>
      </w:r>
      <w:proofErr w:type="spellEnd"/>
      <w:r>
        <w:rPr>
          <w:rFonts w:ascii="Times New Roman" w:eastAsia="Times New Roman" w:hAnsi="Times New Roman" w:cs="Times New Roman"/>
          <w:i/>
          <w:color w:val="1A1A1A"/>
          <w:sz w:val="24"/>
          <w:szCs w:val="24"/>
        </w:rPr>
        <w:t xml:space="preserve"> en Argentina, según datos de la ONG La Casa del Encuentro.</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 xml:space="preserve">Entre 2008 y 2015 se registró un aumento del 78 por ciento en los casos de </w:t>
      </w:r>
      <w:proofErr w:type="spellStart"/>
      <w:r>
        <w:rPr>
          <w:rFonts w:ascii="Times New Roman" w:eastAsia="Times New Roman" w:hAnsi="Times New Roman" w:cs="Times New Roman"/>
          <w:i/>
          <w:color w:val="1A1A1A"/>
          <w:sz w:val="24"/>
          <w:szCs w:val="24"/>
        </w:rPr>
        <w:t>feminicidio</w:t>
      </w:r>
      <w:proofErr w:type="spellEnd"/>
      <w:r>
        <w:rPr>
          <w:rFonts w:ascii="Times New Roman" w:eastAsia="Times New Roman" w:hAnsi="Times New Roman" w:cs="Times New Roman"/>
          <w:i/>
          <w:color w:val="1A1A1A"/>
          <w:sz w:val="24"/>
          <w:szCs w:val="24"/>
        </w:rPr>
        <w:t>. […]</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La protesta se replica en al menos otras 138 ciudades de Argentina y varios pa</w:t>
      </w:r>
      <w:r>
        <w:rPr>
          <w:rFonts w:ascii="Times New Roman" w:eastAsia="Times New Roman" w:hAnsi="Times New Roman" w:cs="Times New Roman"/>
          <w:i/>
          <w:color w:val="1A1A1A"/>
          <w:sz w:val="24"/>
          <w:szCs w:val="24"/>
        </w:rPr>
        <w:t xml:space="preserve">íses del </w:t>
      </w:r>
      <w:proofErr w:type="gramStart"/>
      <w:r>
        <w:rPr>
          <w:rFonts w:ascii="Times New Roman" w:eastAsia="Times New Roman" w:hAnsi="Times New Roman" w:cs="Times New Roman"/>
          <w:i/>
          <w:color w:val="1A1A1A"/>
          <w:sz w:val="24"/>
          <w:szCs w:val="24"/>
        </w:rPr>
        <w:t>continente</w:t>
      </w:r>
      <w:proofErr w:type="gramEnd"/>
      <w:r>
        <w:rPr>
          <w:rFonts w:ascii="Times New Roman" w:eastAsia="Times New Roman" w:hAnsi="Times New Roman" w:cs="Times New Roman"/>
          <w:i/>
          <w:color w:val="1A1A1A"/>
          <w:sz w:val="24"/>
          <w:szCs w:val="24"/>
        </w:rPr>
        <w:t>, entre ellos Chile, México, Uruguay, Bolivia y Estados Unidos. También se anunciaron actos en España, en las ciudades de Madrid, Barcelona y Alicante, y Francia.</w:t>
      </w:r>
    </w:p>
    <w:p w:rsidR="00835AF8" w:rsidRDefault="00FA42BA">
      <w:pPr>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                                                        “Contra los </w:t>
      </w:r>
      <w:proofErr w:type="spellStart"/>
      <w:r>
        <w:rPr>
          <w:rFonts w:ascii="Times New Roman" w:eastAsia="Times New Roman" w:hAnsi="Times New Roman" w:cs="Times New Roman"/>
          <w:color w:val="1A1A1A"/>
          <w:sz w:val="18"/>
          <w:szCs w:val="18"/>
        </w:rPr>
        <w:t>femici</w:t>
      </w:r>
      <w:r>
        <w:rPr>
          <w:rFonts w:ascii="Times New Roman" w:eastAsia="Times New Roman" w:hAnsi="Times New Roman" w:cs="Times New Roman"/>
          <w:color w:val="1A1A1A"/>
          <w:sz w:val="18"/>
          <w:szCs w:val="18"/>
        </w:rPr>
        <w:t>dios</w:t>
      </w:r>
      <w:proofErr w:type="spellEnd"/>
      <w:r>
        <w:rPr>
          <w:rFonts w:ascii="Times New Roman" w:eastAsia="Times New Roman" w:hAnsi="Times New Roman" w:cs="Times New Roman"/>
          <w:color w:val="1A1A1A"/>
          <w:sz w:val="18"/>
          <w:szCs w:val="18"/>
        </w:rPr>
        <w:t xml:space="preserve"> y la violencia machista”. Buenos Aires, </w:t>
      </w:r>
      <w:r>
        <w:rPr>
          <w:rFonts w:ascii="Times New Roman" w:eastAsia="Times New Roman" w:hAnsi="Times New Roman" w:cs="Times New Roman"/>
          <w:i/>
          <w:color w:val="1A1A1A"/>
          <w:sz w:val="18"/>
          <w:szCs w:val="18"/>
        </w:rPr>
        <w:t xml:space="preserve">Página/12, </w:t>
      </w:r>
      <w:r>
        <w:rPr>
          <w:rFonts w:ascii="Times New Roman" w:eastAsia="Times New Roman" w:hAnsi="Times New Roman" w:cs="Times New Roman"/>
          <w:color w:val="1A1A1A"/>
          <w:sz w:val="18"/>
          <w:szCs w:val="18"/>
        </w:rPr>
        <w:t>19/10/2016.</w:t>
      </w:r>
    </w:p>
    <w:p w:rsidR="00835AF8" w:rsidRDefault="00FA42BA">
      <w:pPr>
        <w:rPr>
          <w:rFonts w:ascii="Times New Roman" w:eastAsia="Times New Roman" w:hAnsi="Times New Roman" w:cs="Times New Roman"/>
          <w:color w:val="1155CC"/>
          <w:sz w:val="18"/>
          <w:szCs w:val="18"/>
          <w:u w:val="single"/>
        </w:rPr>
      </w:pPr>
      <w:r>
        <w:rPr>
          <w:rFonts w:ascii="Times New Roman" w:eastAsia="Times New Roman" w:hAnsi="Times New Roman" w:cs="Times New Roman"/>
          <w:color w:val="1A1A1A"/>
          <w:sz w:val="18"/>
          <w:szCs w:val="18"/>
        </w:rPr>
        <w:t xml:space="preserve">                                                           Disponible en</w:t>
      </w:r>
      <w:hyperlink r:id="rId7">
        <w:r>
          <w:rPr>
            <w:rFonts w:ascii="Times New Roman" w:eastAsia="Times New Roman" w:hAnsi="Times New Roman" w:cs="Times New Roman"/>
            <w:color w:val="1A1A1A"/>
            <w:sz w:val="18"/>
            <w:szCs w:val="18"/>
          </w:rPr>
          <w:t xml:space="preserve"> </w:t>
        </w:r>
      </w:hyperlink>
      <w:r>
        <w:fldChar w:fldCharType="begin"/>
      </w:r>
      <w:r>
        <w:instrText xml:space="preserve"> HYPERLINK "</w:instrText>
      </w:r>
      <w:r>
        <w:instrText xml:space="preserve">https://www.pagina12.com.ar/diario/ultimas/20-312158-2016-10-19.html" </w:instrText>
      </w:r>
      <w:r>
        <w:fldChar w:fldCharType="separate"/>
      </w:r>
      <w:r>
        <w:rPr>
          <w:rFonts w:ascii="Times New Roman" w:eastAsia="Times New Roman" w:hAnsi="Times New Roman" w:cs="Times New Roman"/>
          <w:color w:val="1155CC"/>
          <w:sz w:val="18"/>
          <w:szCs w:val="18"/>
          <w:u w:val="single"/>
        </w:rPr>
        <w:t>https://www.pagina12.com.ar/diario/ultimas/20-312158-2016-10-19.html</w:t>
      </w:r>
    </w:p>
    <w:p w:rsidR="00835AF8" w:rsidRDefault="00FA42BA">
      <w:pPr>
        <w:rPr>
          <w:rFonts w:ascii="Times New Roman" w:eastAsia="Times New Roman" w:hAnsi="Times New Roman" w:cs="Times New Roman"/>
          <w:color w:val="1A1A1A"/>
          <w:sz w:val="18"/>
          <w:szCs w:val="18"/>
        </w:rPr>
      </w:pPr>
      <w:r>
        <w:fldChar w:fldCharType="end"/>
      </w:r>
      <w:r>
        <w:rPr>
          <w:rFonts w:ascii="Times New Roman" w:eastAsia="Times New Roman" w:hAnsi="Times New Roman" w:cs="Times New Roman"/>
          <w:color w:val="1A1A1A"/>
          <w:sz w:val="18"/>
          <w:szCs w:val="18"/>
        </w:rPr>
        <w:t xml:space="preserve"> </w:t>
      </w:r>
    </w:p>
    <w:p w:rsidR="00835AF8" w:rsidRDefault="00FA42BA">
      <w:pPr>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 </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El 24 de octubre de 1975, las mujeres islandesas fueron a la huelga. Ese viernes, el 90% de ellas dejaron de t</w:t>
      </w:r>
      <w:r>
        <w:rPr>
          <w:rFonts w:ascii="Times New Roman" w:eastAsia="Times New Roman" w:hAnsi="Times New Roman" w:cs="Times New Roman"/>
          <w:i/>
          <w:color w:val="1A1A1A"/>
          <w:sz w:val="24"/>
          <w:szCs w:val="24"/>
        </w:rPr>
        <w:t>rabajar y salieron a la calle para manifestarse por la igualdad. Islandia se paralizó. Literalmente. Fue un día histórico que hoy se conoce como el “día libre de las mujeres”. Un punto de inflexión que marcó el camino hacia el cambio en el país nórdico. Su</w:t>
      </w:r>
      <w:r>
        <w:rPr>
          <w:rFonts w:ascii="Times New Roman" w:eastAsia="Times New Roman" w:hAnsi="Times New Roman" w:cs="Times New Roman"/>
          <w:i/>
          <w:color w:val="1A1A1A"/>
          <w:sz w:val="24"/>
          <w:szCs w:val="24"/>
        </w:rPr>
        <w:t xml:space="preserve"> lucha y su ejemplo han inspirado a muchas otras movilizaciones, como la de Polonia, […] o las de este miércoles negro en Argentina.</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 En Islandia, el hartazgo de las mujeres por su invisibilidad en la política –apenas ocupaban un 5% de los escaños en el</w:t>
      </w:r>
      <w:r>
        <w:rPr>
          <w:rFonts w:ascii="Times New Roman" w:eastAsia="Times New Roman" w:hAnsi="Times New Roman" w:cs="Times New Roman"/>
          <w:i/>
          <w:color w:val="1A1A1A"/>
          <w:sz w:val="24"/>
          <w:szCs w:val="24"/>
        </w:rPr>
        <w:t xml:space="preserve"> Parlamento– derivó en ese histórico ‘día libre’ que culminó con una gran manifestación en Reikiavik, donde se concentraron más de 25.000 mujeres (de una población total de 220.000 habitantes).</w:t>
      </w:r>
    </w:p>
    <w:p w:rsidR="00835AF8" w:rsidRDefault="00FA42BA">
      <w:pPr>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Ese viernes templado de octubre, muchos comercios y algunas fá</w:t>
      </w:r>
      <w:r>
        <w:rPr>
          <w:rFonts w:ascii="Times New Roman" w:eastAsia="Times New Roman" w:hAnsi="Times New Roman" w:cs="Times New Roman"/>
          <w:i/>
          <w:color w:val="1A1A1A"/>
          <w:sz w:val="24"/>
          <w:szCs w:val="24"/>
        </w:rPr>
        <w:t xml:space="preserve">bricas de todo el país cerraron por la inasistencia de las mujeres. Las escuelas primarias y las guarderías no </w:t>
      </w:r>
      <w:r>
        <w:rPr>
          <w:rFonts w:ascii="Times New Roman" w:eastAsia="Times New Roman" w:hAnsi="Times New Roman" w:cs="Times New Roman"/>
          <w:i/>
          <w:color w:val="1A1A1A"/>
          <w:sz w:val="24"/>
          <w:szCs w:val="24"/>
        </w:rPr>
        <w:lastRenderedPageBreak/>
        <w:t>abrieron sus puertas, y las mujeres que se dedicaban al trabajo doméstico también se sumaron al paro, así que los hombres –que bautizaron a ese 2</w:t>
      </w:r>
      <w:r>
        <w:rPr>
          <w:rFonts w:ascii="Times New Roman" w:eastAsia="Times New Roman" w:hAnsi="Times New Roman" w:cs="Times New Roman"/>
          <w:i/>
          <w:color w:val="1A1A1A"/>
          <w:sz w:val="24"/>
          <w:szCs w:val="24"/>
        </w:rPr>
        <w:t xml:space="preserve">4 de octubre como “el largo día”– tuvieron que llevarse a sus hijos pequeños al trabajo con ellos. Cinco años después, una mujer, </w:t>
      </w:r>
      <w:proofErr w:type="spellStart"/>
      <w:r>
        <w:rPr>
          <w:rFonts w:ascii="Times New Roman" w:eastAsia="Times New Roman" w:hAnsi="Times New Roman" w:cs="Times New Roman"/>
          <w:i/>
          <w:color w:val="1A1A1A"/>
          <w:sz w:val="24"/>
          <w:szCs w:val="24"/>
        </w:rPr>
        <w:t>Vigdis</w:t>
      </w:r>
      <w:proofErr w:type="spellEnd"/>
      <w:r>
        <w:rPr>
          <w:rFonts w:ascii="Times New Roman" w:eastAsia="Times New Roman" w:hAnsi="Times New Roman" w:cs="Times New Roman"/>
          <w:i/>
          <w:color w:val="1A1A1A"/>
          <w:sz w:val="24"/>
          <w:szCs w:val="24"/>
        </w:rPr>
        <w:t xml:space="preserve"> </w:t>
      </w:r>
      <w:proofErr w:type="spellStart"/>
      <w:r>
        <w:rPr>
          <w:rFonts w:ascii="Times New Roman" w:eastAsia="Times New Roman" w:hAnsi="Times New Roman" w:cs="Times New Roman"/>
          <w:i/>
          <w:color w:val="1A1A1A"/>
          <w:sz w:val="24"/>
          <w:szCs w:val="24"/>
        </w:rPr>
        <w:t>Finnbogadottir</w:t>
      </w:r>
      <w:proofErr w:type="spellEnd"/>
      <w:r>
        <w:rPr>
          <w:rFonts w:ascii="Times New Roman" w:eastAsia="Times New Roman" w:hAnsi="Times New Roman" w:cs="Times New Roman"/>
          <w:i/>
          <w:color w:val="1A1A1A"/>
          <w:sz w:val="24"/>
          <w:szCs w:val="24"/>
        </w:rPr>
        <w:t>, fue elegida presidenta de Islandia.</w:t>
      </w:r>
    </w:p>
    <w:p w:rsidR="00835AF8" w:rsidRDefault="00FA42BA">
      <w:pPr>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                                                 </w:t>
      </w:r>
    </w:p>
    <w:p w:rsidR="00835AF8" w:rsidRDefault="00FA42BA">
      <w:pPr>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                 </w:t>
      </w:r>
      <w:r>
        <w:rPr>
          <w:rFonts w:ascii="Times New Roman" w:eastAsia="Times New Roman" w:hAnsi="Times New Roman" w:cs="Times New Roman"/>
          <w:color w:val="1A1A1A"/>
          <w:sz w:val="18"/>
          <w:szCs w:val="18"/>
        </w:rPr>
        <w:t xml:space="preserve">           </w:t>
      </w:r>
      <w:proofErr w:type="spellStart"/>
      <w:r>
        <w:rPr>
          <w:rFonts w:ascii="Times New Roman" w:eastAsia="Times New Roman" w:hAnsi="Times New Roman" w:cs="Times New Roman"/>
          <w:color w:val="1A1A1A"/>
          <w:sz w:val="18"/>
          <w:szCs w:val="18"/>
        </w:rPr>
        <w:t>Sahuquillo</w:t>
      </w:r>
      <w:proofErr w:type="spellEnd"/>
      <w:r>
        <w:rPr>
          <w:rFonts w:ascii="Times New Roman" w:eastAsia="Times New Roman" w:hAnsi="Times New Roman" w:cs="Times New Roman"/>
          <w:color w:val="1A1A1A"/>
          <w:sz w:val="18"/>
          <w:szCs w:val="18"/>
        </w:rPr>
        <w:t xml:space="preserve">, María. “miércoles negro y otros días que las mujeres fueron a la huelga”. Madrid, </w:t>
      </w:r>
      <w:r>
        <w:rPr>
          <w:rFonts w:ascii="Times New Roman" w:eastAsia="Times New Roman" w:hAnsi="Times New Roman" w:cs="Times New Roman"/>
          <w:i/>
          <w:color w:val="1A1A1A"/>
          <w:sz w:val="18"/>
          <w:szCs w:val="18"/>
        </w:rPr>
        <w:t>El País</w:t>
      </w:r>
      <w:r>
        <w:rPr>
          <w:rFonts w:ascii="Times New Roman" w:eastAsia="Times New Roman" w:hAnsi="Times New Roman" w:cs="Times New Roman"/>
          <w:color w:val="1A1A1A"/>
          <w:sz w:val="18"/>
          <w:szCs w:val="18"/>
        </w:rPr>
        <w:t>, 19/10/2016. Disponible en: http://internacional.elpais.com/internacional/2016/10/19/actualidad/1476888718_369754.html</w:t>
      </w:r>
    </w:p>
    <w:p w:rsidR="00835AF8" w:rsidRDefault="00FA42BA">
      <w:pPr>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 </w:t>
      </w:r>
    </w:p>
    <w:p w:rsidR="00835AF8" w:rsidRDefault="00FA42BA">
      <w:pPr>
        <w:rPr>
          <w:color w:val="1A1A1A"/>
          <w:sz w:val="24"/>
          <w:szCs w:val="24"/>
        </w:rPr>
      </w:pPr>
      <w:r>
        <w:rPr>
          <w:color w:val="1A1A1A"/>
          <w:sz w:val="24"/>
          <w:szCs w:val="24"/>
        </w:rPr>
        <w:t>1-Investiga  ambos epi</w:t>
      </w:r>
      <w:r>
        <w:rPr>
          <w:color w:val="1A1A1A"/>
          <w:sz w:val="24"/>
          <w:szCs w:val="24"/>
        </w:rPr>
        <w:t>sodios (la huelga de Finlandia y la de Argentina por Ni Una Menos), tomando en cuenta: el disparador de la acción, el nivel de participación, sus consecuencias, tanto las inmediatas como las de largo plazo, etcétera</w:t>
      </w:r>
    </w:p>
    <w:p w:rsidR="00835AF8" w:rsidRDefault="00FA42BA">
      <w:pPr>
        <w:rPr>
          <w:color w:val="1A1A1A"/>
          <w:sz w:val="24"/>
          <w:szCs w:val="24"/>
        </w:rPr>
      </w:pPr>
      <w:r>
        <w:rPr>
          <w:color w:val="1A1A1A"/>
          <w:sz w:val="24"/>
          <w:szCs w:val="24"/>
        </w:rPr>
        <w:t>2. Busca información sobre otras huelgas</w:t>
      </w:r>
      <w:r>
        <w:rPr>
          <w:color w:val="1A1A1A"/>
          <w:sz w:val="24"/>
          <w:szCs w:val="24"/>
        </w:rPr>
        <w:t xml:space="preserve"> protagonizadas por mujeres en lucha por sus derechos a lo largo de la historia.</w:t>
      </w:r>
    </w:p>
    <w:p w:rsidR="00835AF8" w:rsidRDefault="00835AF8">
      <w:pPr>
        <w:rPr>
          <w:color w:val="1A1A1A"/>
          <w:sz w:val="24"/>
          <w:szCs w:val="24"/>
        </w:rPr>
      </w:pPr>
    </w:p>
    <w:p w:rsidR="00835AF8" w:rsidRDefault="00835AF8">
      <w:pPr>
        <w:rPr>
          <w:color w:val="1A1A1A"/>
          <w:sz w:val="24"/>
          <w:szCs w:val="24"/>
        </w:rPr>
      </w:pPr>
    </w:p>
    <w:p w:rsidR="00835AF8" w:rsidRDefault="00FA42BA">
      <w:pPr>
        <w:rPr>
          <w:color w:val="1A1A1A"/>
          <w:sz w:val="24"/>
          <w:szCs w:val="24"/>
        </w:rPr>
      </w:pPr>
      <w:r>
        <w:pict>
          <v:rect id="_x0000_i1025" style="width:0;height:1.5pt" o:hralign="center" o:hrstd="t" o:hr="t" fillcolor="#a0a0a0" stroked="f"/>
        </w:pict>
      </w:r>
    </w:p>
    <w:p w:rsidR="00835AF8" w:rsidRDefault="00835AF8"/>
    <w:p w:rsidR="00835AF8" w:rsidRDefault="00FA42BA">
      <w:r>
        <w:t xml:space="preserve">Actividades de Continuidad Pedagógica de </w:t>
      </w:r>
      <w:proofErr w:type="gramStart"/>
      <w:r>
        <w:t>Inglés</w:t>
      </w:r>
      <w:proofErr w:type="gramEnd"/>
    </w:p>
    <w:p w:rsidR="00835AF8" w:rsidRDefault="00FA42BA">
      <w:r>
        <w:t xml:space="preserve">Prof. Verónica </w:t>
      </w:r>
      <w:proofErr w:type="spellStart"/>
      <w:r>
        <w:t>Celiz</w:t>
      </w:r>
      <w:proofErr w:type="spellEnd"/>
    </w:p>
    <w:p w:rsidR="00835AF8" w:rsidRDefault="00835AF8"/>
    <w:p w:rsidR="00835AF8" w:rsidRDefault="00FA42BA">
      <w:bookmarkStart w:id="0" w:name="_GoBack"/>
      <w:r>
        <w:rPr>
          <w:noProof/>
          <w:lang w:val="es-AR"/>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3171825" cy="4448175"/>
            <wp:effectExtent l="0" t="0" r="9525" b="9525"/>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171825" cy="4448175"/>
                    </a:xfrm>
                    <a:prstGeom prst="rect">
                      <a:avLst/>
                    </a:prstGeom>
                    <a:ln/>
                  </pic:spPr>
                </pic:pic>
              </a:graphicData>
            </a:graphic>
            <wp14:sizeRelH relativeFrom="page">
              <wp14:pctWidth>0</wp14:pctWidth>
            </wp14:sizeRelH>
            <wp14:sizeRelV relativeFrom="page">
              <wp14:pctHeight>0</wp14:pctHeight>
            </wp14:sizeRelV>
          </wp:anchor>
        </w:drawing>
      </w:r>
      <w:bookmarkEnd w:id="0"/>
    </w:p>
    <w:p w:rsidR="00835AF8" w:rsidRDefault="00835AF8"/>
    <w:p w:rsidR="00835AF8" w:rsidRDefault="00835AF8">
      <w:pPr>
        <w:rPr>
          <w:u w:val="single"/>
        </w:rPr>
      </w:pPr>
    </w:p>
    <w:p w:rsidR="00835AF8" w:rsidRDefault="00FA42BA">
      <w:pPr>
        <w:rPr>
          <w:u w:val="single"/>
        </w:rPr>
      </w:pPr>
      <w:r>
        <w:pict>
          <v:rect id="_x0000_i1026" style="width:0;height:1.5pt" o:hralign="center" o:hrstd="t" o:hr="t" fillcolor="#a0a0a0" stroked="f"/>
        </w:pict>
      </w:r>
    </w:p>
    <w:p w:rsidR="00835AF8" w:rsidRDefault="00835AF8">
      <w:pPr>
        <w:rPr>
          <w:u w:val="single"/>
        </w:rPr>
      </w:pPr>
    </w:p>
    <w:p w:rsidR="00835AF8" w:rsidRDefault="00FA42BA">
      <w:pPr>
        <w:rPr>
          <w:b/>
          <w:sz w:val="28"/>
          <w:szCs w:val="28"/>
        </w:rPr>
      </w:pPr>
      <w:r>
        <w:rPr>
          <w:b/>
          <w:sz w:val="28"/>
          <w:szCs w:val="28"/>
        </w:rPr>
        <w:t xml:space="preserve">    </w:t>
      </w:r>
    </w:p>
    <w:p w:rsidR="00835AF8" w:rsidRDefault="00FA42BA">
      <w:pPr>
        <w:rPr>
          <w:b/>
          <w:sz w:val="28"/>
          <w:szCs w:val="28"/>
          <w:u w:val="single"/>
        </w:rPr>
      </w:pPr>
      <w:r>
        <w:rPr>
          <w:b/>
          <w:sz w:val="28"/>
          <w:szCs w:val="28"/>
        </w:rPr>
        <w:t xml:space="preserve"> </w:t>
      </w:r>
      <w:r>
        <w:rPr>
          <w:b/>
          <w:sz w:val="28"/>
          <w:szCs w:val="28"/>
          <w:u w:val="single"/>
        </w:rPr>
        <w:t xml:space="preserve"> MATERIA: GEOGRAFÍA. PROFESORA: NATALIA CASTRO.</w:t>
      </w:r>
    </w:p>
    <w:p w:rsidR="00835AF8" w:rsidRDefault="00835AF8">
      <w:pPr>
        <w:rPr>
          <w:b/>
          <w:sz w:val="28"/>
          <w:szCs w:val="28"/>
          <w:u w:val="single"/>
        </w:rPr>
      </w:pPr>
    </w:p>
    <w:p w:rsidR="00835AF8" w:rsidRDefault="00FA42BA">
      <w:pPr>
        <w:rPr>
          <w:b/>
          <w:sz w:val="28"/>
          <w:szCs w:val="28"/>
          <w:u w:val="single"/>
        </w:rPr>
      </w:pPr>
      <w:r>
        <w:rPr>
          <w:b/>
          <w:sz w:val="28"/>
          <w:szCs w:val="28"/>
          <w:u w:val="single"/>
        </w:rPr>
        <w:t>TEMA: POBLACIÓN. MOVIMIENTOS MIGRATORIOS.</w:t>
      </w:r>
    </w:p>
    <w:p w:rsidR="00835AF8" w:rsidRDefault="00835AF8">
      <w:pPr>
        <w:rPr>
          <w:b/>
          <w:sz w:val="28"/>
          <w:szCs w:val="28"/>
          <w:u w:val="single"/>
        </w:rPr>
      </w:pPr>
    </w:p>
    <w:p w:rsidR="00835AF8" w:rsidRDefault="00FA42BA">
      <w:pPr>
        <w:rPr>
          <w:b/>
          <w:sz w:val="28"/>
          <w:szCs w:val="28"/>
          <w:u w:val="single"/>
        </w:rPr>
      </w:pPr>
      <w:r>
        <w:rPr>
          <w:b/>
          <w:sz w:val="28"/>
          <w:szCs w:val="28"/>
          <w:u w:val="single"/>
        </w:rPr>
        <w:t>ACTIVIDAD:</w:t>
      </w:r>
    </w:p>
    <w:p w:rsidR="00835AF8" w:rsidRDefault="00FA42BA">
      <w:pPr>
        <w:ind w:left="360"/>
        <w:rPr>
          <w:sz w:val="28"/>
          <w:szCs w:val="28"/>
        </w:rPr>
      </w:pPr>
      <w:r>
        <w:rPr>
          <w:sz w:val="28"/>
          <w:szCs w:val="28"/>
        </w:rPr>
        <w:t>1)</w:t>
      </w:r>
      <w:r>
        <w:rPr>
          <w:sz w:val="28"/>
          <w:szCs w:val="28"/>
        </w:rPr>
        <w:tab/>
        <w:t>LEER EL TEXTO “</w:t>
      </w:r>
      <w:r>
        <w:rPr>
          <w:sz w:val="28"/>
          <w:szCs w:val="28"/>
          <w:u w:val="single"/>
        </w:rPr>
        <w:t>EMIGRAR NO SIGNIFICA TRIUNFAR</w:t>
      </w:r>
      <w:r>
        <w:rPr>
          <w:sz w:val="28"/>
          <w:szCs w:val="28"/>
        </w:rPr>
        <w:t>”Y RESPONDER:</w:t>
      </w:r>
    </w:p>
    <w:p w:rsidR="00835AF8" w:rsidRDefault="00FA42BA">
      <w:pPr>
        <w:ind w:left="1440" w:hanging="360"/>
        <w:rPr>
          <w:sz w:val="28"/>
          <w:szCs w:val="28"/>
        </w:rPr>
      </w:pPr>
      <w:r>
        <w:rPr>
          <w:sz w:val="28"/>
          <w:szCs w:val="28"/>
        </w:rPr>
        <w:lastRenderedPageBreak/>
        <w:t>A)</w:t>
      </w:r>
      <w:r>
        <w:rPr>
          <w:sz w:val="28"/>
          <w:szCs w:val="28"/>
        </w:rPr>
        <w:tab/>
        <w:t>EXPLICAR CON TRES EJEMPLOS DEL TEXTO POR QUÉ EMIGRAR NO SIGNIFICA TRIUNFAR.</w:t>
      </w:r>
    </w:p>
    <w:p w:rsidR="00835AF8" w:rsidRDefault="00FA42BA">
      <w:pPr>
        <w:ind w:left="1440" w:hanging="360"/>
        <w:rPr>
          <w:sz w:val="28"/>
          <w:szCs w:val="28"/>
        </w:rPr>
      </w:pPr>
      <w:r>
        <w:rPr>
          <w:sz w:val="28"/>
          <w:szCs w:val="28"/>
        </w:rPr>
        <w:t>B)</w:t>
      </w:r>
      <w:r>
        <w:rPr>
          <w:sz w:val="28"/>
          <w:szCs w:val="28"/>
        </w:rPr>
        <w:tab/>
        <w:t xml:space="preserve">¿CUÁL FUE LA PRINCIPAL RAZÓN DE LOS ARGENTINOS PARA MIGRAR </w:t>
      </w:r>
      <w:r>
        <w:rPr>
          <w:sz w:val="28"/>
          <w:szCs w:val="28"/>
        </w:rPr>
        <w:t>EN 2001?</w:t>
      </w:r>
    </w:p>
    <w:p w:rsidR="00835AF8" w:rsidRDefault="00FA42BA">
      <w:pPr>
        <w:ind w:left="1440" w:hanging="360"/>
        <w:rPr>
          <w:sz w:val="28"/>
          <w:szCs w:val="28"/>
        </w:rPr>
      </w:pPr>
      <w:r>
        <w:rPr>
          <w:sz w:val="28"/>
          <w:szCs w:val="28"/>
        </w:rPr>
        <w:t>C)</w:t>
      </w:r>
      <w:r>
        <w:rPr>
          <w:sz w:val="28"/>
          <w:szCs w:val="28"/>
        </w:rPr>
        <w:tab/>
        <w:t>¿POR QUÉ A PESAR QUE EMIGRAR NO SIGNIFICA TRIUNFAR, LOS ARGENTINOS QUE RESIDEN EN EL EXTRANJERO AFIRMAN QUE LA VIDA EN EL NUEVO PAÍS ES MEJOR CON RESPECTO A LA QUE TENÍAN EN LA ARGENTINA?</w:t>
      </w:r>
    </w:p>
    <w:p w:rsidR="00835AF8" w:rsidRDefault="00FA42BA">
      <w:pPr>
        <w:ind w:left="1080"/>
        <w:rPr>
          <w:sz w:val="28"/>
          <w:szCs w:val="28"/>
        </w:rPr>
      </w:pPr>
      <w:r>
        <w:rPr>
          <w:sz w:val="28"/>
          <w:szCs w:val="28"/>
        </w:rPr>
        <w:t xml:space="preserve"> </w:t>
      </w:r>
    </w:p>
    <w:p w:rsidR="00835AF8" w:rsidRDefault="00835AF8"/>
    <w:p w:rsidR="00835AF8" w:rsidRDefault="00835AF8"/>
    <w:p w:rsidR="00835AF8" w:rsidRDefault="00835AF8"/>
    <w:p w:rsidR="00835AF8" w:rsidRDefault="00835AF8"/>
    <w:p w:rsidR="00835AF8" w:rsidRDefault="00FA42BA">
      <w:pPr>
        <w:rPr>
          <w:sz w:val="28"/>
          <w:szCs w:val="28"/>
        </w:rPr>
      </w:pPr>
      <w:proofErr w:type="spellStart"/>
      <w:r>
        <w:rPr>
          <w:sz w:val="28"/>
          <w:szCs w:val="28"/>
        </w:rPr>
        <w:t>Int</w:t>
      </w:r>
      <w:proofErr w:type="spellEnd"/>
      <w:r>
        <w:rPr>
          <w:sz w:val="28"/>
          <w:szCs w:val="28"/>
        </w:rPr>
        <w:t xml:space="preserve">. </w:t>
      </w:r>
      <w:proofErr w:type="gramStart"/>
      <w:r>
        <w:rPr>
          <w:sz w:val="28"/>
          <w:szCs w:val="28"/>
        </w:rPr>
        <w:t>a</w:t>
      </w:r>
      <w:proofErr w:type="gramEnd"/>
      <w:r>
        <w:rPr>
          <w:sz w:val="28"/>
          <w:szCs w:val="28"/>
        </w:rPr>
        <w:t xml:space="preserve"> la Química</w:t>
      </w:r>
    </w:p>
    <w:p w:rsidR="00835AF8" w:rsidRDefault="00FA42BA">
      <w:pPr>
        <w:rPr>
          <w:sz w:val="28"/>
          <w:szCs w:val="28"/>
        </w:rPr>
      </w:pPr>
      <w:r>
        <w:rPr>
          <w:sz w:val="28"/>
          <w:szCs w:val="28"/>
        </w:rPr>
        <w:t>Curso: 5 “F”</w:t>
      </w:r>
    </w:p>
    <w:p w:rsidR="00835AF8" w:rsidRDefault="00FA42BA">
      <w:pPr>
        <w:rPr>
          <w:sz w:val="28"/>
          <w:szCs w:val="28"/>
        </w:rPr>
      </w:pPr>
      <w:r>
        <w:rPr>
          <w:sz w:val="28"/>
          <w:szCs w:val="28"/>
        </w:rPr>
        <w:t xml:space="preserve">Profesora: Lucas </w:t>
      </w:r>
      <w:proofErr w:type="spellStart"/>
      <w:r>
        <w:rPr>
          <w:sz w:val="28"/>
          <w:szCs w:val="28"/>
        </w:rPr>
        <w:t>De</w:t>
      </w:r>
      <w:r>
        <w:rPr>
          <w:sz w:val="28"/>
          <w:szCs w:val="28"/>
        </w:rPr>
        <w:t>bora</w:t>
      </w:r>
      <w:proofErr w:type="spellEnd"/>
    </w:p>
    <w:p w:rsidR="00835AF8" w:rsidRDefault="00835AF8"/>
    <w:p w:rsidR="00835AF8" w:rsidRDefault="00FA42BA">
      <w:pPr>
        <w:jc w:val="center"/>
        <w:rPr>
          <w:i/>
          <w:sz w:val="28"/>
          <w:szCs w:val="28"/>
        </w:rPr>
      </w:pPr>
      <w:r>
        <w:rPr>
          <w:i/>
          <w:sz w:val="28"/>
          <w:szCs w:val="28"/>
        </w:rPr>
        <w:t>Cálculos en estequiometria</w:t>
      </w:r>
    </w:p>
    <w:p w:rsidR="00835AF8" w:rsidRDefault="00FA42BA">
      <w:r>
        <w:t>Se tiene la siguiente ecuación:</w:t>
      </w:r>
    </w:p>
    <w:p w:rsidR="00835AF8" w:rsidRDefault="00FA42BA">
      <w:pPr>
        <w:spacing w:after="160"/>
        <w:rPr>
          <w:color w:val="555555"/>
          <w:sz w:val="20"/>
          <w:szCs w:val="20"/>
          <w:highlight w:val="white"/>
        </w:rPr>
      </w:pPr>
      <w:r>
        <w:rPr>
          <w:color w:val="555555"/>
          <w:sz w:val="20"/>
          <w:szCs w:val="20"/>
          <w:highlight w:val="white"/>
        </w:rPr>
        <w:t xml:space="preserve">                                                               </w:t>
      </w:r>
      <w:r>
        <w:rPr>
          <w:color w:val="555555"/>
          <w:sz w:val="20"/>
          <w:szCs w:val="20"/>
          <w:highlight w:val="white"/>
        </w:rPr>
        <w:tab/>
      </w:r>
      <w:r>
        <w:rPr>
          <w:color w:val="FF0000"/>
          <w:sz w:val="20"/>
          <w:szCs w:val="20"/>
          <w:highlight w:val="white"/>
        </w:rPr>
        <w:t>1</w:t>
      </w:r>
      <w:r>
        <w:rPr>
          <w:color w:val="555555"/>
          <w:sz w:val="20"/>
          <w:szCs w:val="20"/>
          <w:highlight w:val="white"/>
        </w:rPr>
        <w:t>CH</w:t>
      </w:r>
      <w:r>
        <w:rPr>
          <w:color w:val="555555"/>
          <w:sz w:val="20"/>
          <w:szCs w:val="20"/>
          <w:highlight w:val="white"/>
          <w:vertAlign w:val="subscript"/>
        </w:rPr>
        <w:t>4</w:t>
      </w:r>
      <w:r>
        <w:rPr>
          <w:color w:val="555555"/>
          <w:sz w:val="20"/>
          <w:szCs w:val="20"/>
          <w:highlight w:val="white"/>
        </w:rPr>
        <w:t>+</w:t>
      </w:r>
      <w:r>
        <w:rPr>
          <w:color w:val="FF0000"/>
          <w:sz w:val="20"/>
          <w:szCs w:val="20"/>
          <w:highlight w:val="white"/>
        </w:rPr>
        <w:t>2</w:t>
      </w:r>
      <w:r>
        <w:rPr>
          <w:color w:val="555555"/>
          <w:sz w:val="20"/>
          <w:szCs w:val="20"/>
          <w:highlight w:val="white"/>
        </w:rPr>
        <w:t>O</w:t>
      </w:r>
      <w:r>
        <w:rPr>
          <w:color w:val="555555"/>
          <w:sz w:val="20"/>
          <w:szCs w:val="20"/>
          <w:highlight w:val="white"/>
          <w:vertAlign w:val="subscript"/>
        </w:rPr>
        <w:t>2</w:t>
      </w:r>
      <w:r>
        <w:rPr>
          <w:color w:val="555555"/>
          <w:sz w:val="20"/>
          <w:szCs w:val="20"/>
          <w:highlight w:val="white"/>
        </w:rPr>
        <w:t xml:space="preserve">           </w:t>
      </w:r>
      <w:r>
        <w:rPr>
          <w:color w:val="555555"/>
          <w:sz w:val="20"/>
          <w:szCs w:val="20"/>
          <w:highlight w:val="white"/>
        </w:rPr>
        <w:tab/>
      </w:r>
      <w:r>
        <w:rPr>
          <w:color w:val="FF0000"/>
          <w:sz w:val="20"/>
          <w:szCs w:val="20"/>
          <w:highlight w:val="white"/>
        </w:rPr>
        <w:t>1</w:t>
      </w:r>
      <w:r>
        <w:rPr>
          <w:color w:val="555555"/>
          <w:sz w:val="20"/>
          <w:szCs w:val="20"/>
          <w:highlight w:val="white"/>
        </w:rPr>
        <w:t>CO</w:t>
      </w:r>
      <w:r>
        <w:rPr>
          <w:color w:val="555555"/>
          <w:sz w:val="20"/>
          <w:szCs w:val="20"/>
          <w:highlight w:val="white"/>
          <w:vertAlign w:val="subscript"/>
        </w:rPr>
        <w:t xml:space="preserve">2 </w:t>
      </w:r>
      <w:r>
        <w:rPr>
          <w:color w:val="555555"/>
          <w:sz w:val="20"/>
          <w:szCs w:val="20"/>
          <w:highlight w:val="white"/>
        </w:rPr>
        <w:t>+</w:t>
      </w:r>
      <w:r>
        <w:rPr>
          <w:color w:val="FF0000"/>
          <w:sz w:val="20"/>
          <w:szCs w:val="20"/>
          <w:highlight w:val="white"/>
        </w:rPr>
        <w:t>2</w:t>
      </w:r>
      <w:r>
        <w:rPr>
          <w:color w:val="555555"/>
          <w:sz w:val="20"/>
          <w:szCs w:val="20"/>
          <w:highlight w:val="white"/>
        </w:rPr>
        <w:t xml:space="preserve"> H</w:t>
      </w:r>
      <w:r>
        <w:rPr>
          <w:color w:val="555555"/>
          <w:sz w:val="20"/>
          <w:szCs w:val="20"/>
          <w:highlight w:val="white"/>
          <w:vertAlign w:val="subscript"/>
        </w:rPr>
        <w:t>2</w:t>
      </w:r>
      <w:r>
        <w:rPr>
          <w:color w:val="555555"/>
          <w:sz w:val="20"/>
          <w:szCs w:val="20"/>
          <w:highlight w:val="white"/>
        </w:rPr>
        <w:t>O</w:t>
      </w:r>
    </w:p>
    <w:p w:rsidR="00835AF8" w:rsidRDefault="00FA42BA">
      <w:pPr>
        <w:spacing w:after="160"/>
        <w:rPr>
          <w:color w:val="555555"/>
          <w:sz w:val="20"/>
          <w:szCs w:val="20"/>
          <w:highlight w:val="white"/>
        </w:rPr>
      </w:pPr>
      <w:r>
        <w:rPr>
          <w:color w:val="555555"/>
          <w:sz w:val="20"/>
          <w:szCs w:val="20"/>
          <w:highlight w:val="white"/>
        </w:rPr>
        <w:t>Debemos realizar los siguientes pasos:</w:t>
      </w:r>
    </w:p>
    <w:p w:rsidR="00835AF8" w:rsidRDefault="00FA42BA">
      <w:pPr>
        <w:ind w:left="360"/>
      </w:pPr>
      <w:r>
        <w:t xml:space="preserve">a)      Lo primero que se debe hacer es balancear la ecuación con coeficientes </w:t>
      </w:r>
      <w:proofErr w:type="spellStart"/>
      <w:r>
        <w:t>estequiométricos</w:t>
      </w:r>
      <w:proofErr w:type="spellEnd"/>
      <w:r>
        <w:t xml:space="preserve"> (valores en rojo) que nos permitirá tener las mismas cantidades de átomos del lado de los productos y del lado de </w:t>
      </w:r>
      <w:proofErr w:type="spellStart"/>
      <w:r>
        <w:t>lo</w:t>
      </w:r>
      <w:proofErr w:type="spellEnd"/>
      <w:r>
        <w:t xml:space="preserve"> reactivos.</w:t>
      </w:r>
    </w:p>
    <w:p w:rsidR="00835AF8" w:rsidRDefault="00FA42BA">
      <w:pPr>
        <w:ind w:left="360"/>
        <w:rPr>
          <w:color w:val="555555"/>
          <w:sz w:val="20"/>
          <w:szCs w:val="20"/>
        </w:rPr>
      </w:pPr>
      <w:r>
        <w:t>b)      Luego se expresa la cant</w:t>
      </w:r>
      <w:r>
        <w:t xml:space="preserve">idad de moles que se tiene de cada compuesto, que el valor del coeficiente </w:t>
      </w:r>
      <w:proofErr w:type="spellStart"/>
      <w:r>
        <w:t>estequiométrico</w:t>
      </w:r>
      <w:proofErr w:type="spellEnd"/>
      <w:r>
        <w:t xml:space="preserve">, es decir para el </w:t>
      </w:r>
      <w:r>
        <w:rPr>
          <w:color w:val="555555"/>
          <w:sz w:val="20"/>
          <w:szCs w:val="20"/>
        </w:rPr>
        <w:t>CH</w:t>
      </w:r>
      <w:r>
        <w:rPr>
          <w:color w:val="555555"/>
          <w:sz w:val="20"/>
          <w:szCs w:val="20"/>
          <w:vertAlign w:val="subscript"/>
        </w:rPr>
        <w:t xml:space="preserve">4 </w:t>
      </w:r>
      <w:r>
        <w:rPr>
          <w:color w:val="555555"/>
          <w:sz w:val="20"/>
          <w:szCs w:val="20"/>
        </w:rPr>
        <w:t>será 1 mol, para el O</w:t>
      </w:r>
      <w:r>
        <w:rPr>
          <w:color w:val="555555"/>
          <w:sz w:val="20"/>
          <w:szCs w:val="20"/>
          <w:vertAlign w:val="subscript"/>
        </w:rPr>
        <w:t>2</w:t>
      </w:r>
      <w:r>
        <w:rPr>
          <w:color w:val="555555"/>
          <w:sz w:val="20"/>
          <w:szCs w:val="20"/>
        </w:rPr>
        <w:t xml:space="preserve"> 2, para el CO</w:t>
      </w:r>
      <w:r>
        <w:rPr>
          <w:color w:val="555555"/>
          <w:sz w:val="20"/>
          <w:szCs w:val="20"/>
          <w:vertAlign w:val="subscript"/>
        </w:rPr>
        <w:t>2</w:t>
      </w:r>
      <w:r>
        <w:rPr>
          <w:color w:val="555555"/>
          <w:sz w:val="20"/>
          <w:szCs w:val="20"/>
        </w:rPr>
        <w:t xml:space="preserve"> 1 y para el agua 2.</w:t>
      </w:r>
    </w:p>
    <w:p w:rsidR="00835AF8" w:rsidRDefault="00FA42BA">
      <w:pPr>
        <w:ind w:left="360"/>
        <w:rPr>
          <w:color w:val="555555"/>
          <w:sz w:val="20"/>
          <w:szCs w:val="20"/>
        </w:rPr>
      </w:pPr>
      <w:r>
        <w:t xml:space="preserve">c)       </w:t>
      </w:r>
      <w:r>
        <w:rPr>
          <w:color w:val="555555"/>
          <w:sz w:val="20"/>
          <w:szCs w:val="20"/>
        </w:rPr>
        <w:t xml:space="preserve">Ahora debemos calcular el peso molecular de cada compuesto que se realizará </w:t>
      </w:r>
      <w:r>
        <w:rPr>
          <w:color w:val="555555"/>
          <w:sz w:val="20"/>
          <w:szCs w:val="20"/>
        </w:rPr>
        <w:t>como ya investigaron en otros trabajos de la siguiente manera:</w:t>
      </w:r>
    </w:p>
    <w:p w:rsidR="00835AF8" w:rsidRDefault="00FA42BA">
      <w:pPr>
        <w:ind w:left="1800" w:hanging="360"/>
      </w:pPr>
      <w:r>
        <w:t>·         Buscamos en la tabla periódica  el peso de cada elemento</w:t>
      </w:r>
      <w:proofErr w:type="gramStart"/>
      <w:r>
        <w:t>:  el</w:t>
      </w:r>
      <w:proofErr w:type="gramEnd"/>
      <w:r>
        <w:t xml:space="preserve"> del carbono es 12, el del oxígeno 16, el del hidrógeno 1;</w:t>
      </w:r>
    </w:p>
    <w:p w:rsidR="00835AF8" w:rsidRDefault="00FA42BA">
      <w:pPr>
        <w:ind w:left="1800" w:hanging="360"/>
      </w:pPr>
      <w:r>
        <w:t>·         A esos valores lo multiplicamos por la cantidad de át</w:t>
      </w:r>
      <w:r>
        <w:t>omos de cada elemento que posee el compuesto. Por ejemplo:</w:t>
      </w:r>
    </w:p>
    <w:p w:rsidR="00835AF8" w:rsidRDefault="00FA42BA">
      <w:pPr>
        <w:ind w:left="1440"/>
      </w:pPr>
      <w:r>
        <w:t>CH4 será 12+ 1*4, 12 del carbono más 1 por el peso del hidrógeno multiplicado por 4 que son la cantidad de átomos que posee el metano CH4;</w:t>
      </w:r>
    </w:p>
    <w:p w:rsidR="00835AF8" w:rsidRDefault="00FA42BA">
      <w:pPr>
        <w:ind w:left="1440"/>
      </w:pPr>
      <w:r>
        <w:lastRenderedPageBreak/>
        <w:t xml:space="preserve">Para el O2 </w:t>
      </w:r>
      <w:proofErr w:type="gramStart"/>
      <w:r>
        <w:t>será(</w:t>
      </w:r>
      <w:proofErr w:type="gramEnd"/>
      <w:r>
        <w:t xml:space="preserve">16*2)*2  y lo debo multiplicar nuevamente </w:t>
      </w:r>
      <w:r>
        <w:t>por dos pues tengo 2 moléculas en la ecuación;</w:t>
      </w:r>
    </w:p>
    <w:p w:rsidR="00835AF8" w:rsidRDefault="00FA42BA">
      <w:pPr>
        <w:ind w:left="1440"/>
      </w:pPr>
      <w:r>
        <w:t>Para el co2 será 12+ 16*2 y lo multiplicaría por 1 pues ese es el coeficiente en la reacción;</w:t>
      </w:r>
    </w:p>
    <w:p w:rsidR="00835AF8" w:rsidRDefault="00FA42BA">
      <w:pPr>
        <w:ind w:left="1440"/>
      </w:pPr>
      <w:r>
        <w:t>Para el agua será (1*2+16)*2.</w:t>
      </w:r>
    </w:p>
    <w:p w:rsidR="00835AF8" w:rsidRDefault="00FA42BA">
      <w:pPr>
        <w:ind w:left="360"/>
      </w:pPr>
      <w:r>
        <w:t>d)      Ahora debo completar el cuadro con los valores obtenidos:</w:t>
      </w:r>
    </w:p>
    <w:tbl>
      <w:tblPr>
        <w:tblStyle w:val="a"/>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40"/>
        <w:gridCol w:w="2010"/>
        <w:gridCol w:w="2055"/>
        <w:gridCol w:w="2040"/>
      </w:tblGrid>
      <w:tr w:rsidR="00835AF8">
        <w:trPr>
          <w:trHeight w:val="62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FF0000"/>
                <w:sz w:val="20"/>
                <w:szCs w:val="20"/>
              </w:rPr>
              <w:t>1</w:t>
            </w:r>
            <w:r>
              <w:rPr>
                <w:color w:val="555555"/>
                <w:sz w:val="20"/>
                <w:szCs w:val="20"/>
              </w:rPr>
              <w:t>CH</w:t>
            </w:r>
            <w:r>
              <w:rPr>
                <w:color w:val="555555"/>
                <w:sz w:val="20"/>
                <w:szCs w:val="20"/>
                <w:vertAlign w:val="subscript"/>
              </w:rPr>
              <w:t>4</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FF0000"/>
                <w:sz w:val="20"/>
                <w:szCs w:val="20"/>
              </w:rPr>
              <w:t>2</w:t>
            </w:r>
            <w:r>
              <w:rPr>
                <w:color w:val="555555"/>
                <w:sz w:val="20"/>
                <w:szCs w:val="20"/>
              </w:rPr>
              <w:t>O</w:t>
            </w:r>
            <w:r>
              <w:rPr>
                <w:color w:val="555555"/>
                <w:sz w:val="20"/>
                <w:szCs w:val="20"/>
                <w:vertAlign w:val="subscript"/>
              </w:rPr>
              <w:t>2</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FF0000"/>
                <w:sz w:val="20"/>
                <w:szCs w:val="20"/>
              </w:rPr>
              <w:t>1</w:t>
            </w:r>
            <w:r>
              <w:rPr>
                <w:color w:val="555555"/>
                <w:sz w:val="20"/>
                <w:szCs w:val="20"/>
              </w:rPr>
              <w:t>CO</w:t>
            </w:r>
            <w:r>
              <w:rPr>
                <w:color w:val="555555"/>
                <w:sz w:val="20"/>
                <w:szCs w:val="20"/>
                <w:vertAlign w:val="subscript"/>
              </w:rPr>
              <w:t>2</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spacing w:after="160"/>
              <w:ind w:left="720"/>
              <w:jc w:val="center"/>
              <w:rPr>
                <w:color w:val="555555"/>
                <w:sz w:val="20"/>
                <w:szCs w:val="20"/>
                <w:highlight w:val="white"/>
              </w:rPr>
            </w:pPr>
            <w:r>
              <w:rPr>
                <w:color w:val="FF0000"/>
                <w:sz w:val="20"/>
                <w:szCs w:val="20"/>
                <w:highlight w:val="white"/>
              </w:rPr>
              <w:t>2</w:t>
            </w:r>
            <w:r>
              <w:rPr>
                <w:color w:val="555555"/>
                <w:sz w:val="20"/>
                <w:szCs w:val="20"/>
                <w:highlight w:val="white"/>
              </w:rPr>
              <w:t xml:space="preserve"> H</w:t>
            </w:r>
            <w:r>
              <w:rPr>
                <w:color w:val="555555"/>
                <w:sz w:val="20"/>
                <w:szCs w:val="20"/>
                <w:highlight w:val="white"/>
                <w:vertAlign w:val="subscript"/>
              </w:rPr>
              <w:t>2</w:t>
            </w:r>
            <w:r>
              <w:rPr>
                <w:color w:val="555555"/>
                <w:sz w:val="20"/>
                <w:szCs w:val="20"/>
                <w:highlight w:val="white"/>
              </w:rPr>
              <w:t>O</w:t>
            </w:r>
          </w:p>
        </w:tc>
      </w:tr>
      <w:tr w:rsidR="00835AF8">
        <w:trPr>
          <w:trHeight w:val="480"/>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1</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2</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1</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2</w:t>
            </w:r>
          </w:p>
        </w:tc>
      </w:tr>
      <w:tr w:rsidR="00835AF8">
        <w:trPr>
          <w:trHeight w:val="480"/>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16 g</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64g</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44g</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pPr>
            <w:r>
              <w:t>36g</w:t>
            </w:r>
          </w:p>
        </w:tc>
      </w:tr>
      <w:tr w:rsidR="00835AF8">
        <w:trPr>
          <w:trHeight w:val="480"/>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pPr>
            <w: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pPr>
            <w:r>
              <w:t xml:space="preserve"> </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pPr>
            <w:r>
              <w:t xml:space="preserve">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pPr>
            <w:r>
              <w:t xml:space="preserve"> </w:t>
            </w:r>
          </w:p>
        </w:tc>
      </w:tr>
    </w:tbl>
    <w:p w:rsidR="00835AF8" w:rsidRDefault="00FA42BA">
      <w:r>
        <w:t xml:space="preserve"> </w:t>
      </w:r>
    </w:p>
    <w:p w:rsidR="00835AF8" w:rsidRDefault="00FA42BA">
      <w:pPr>
        <w:ind w:left="360"/>
      </w:pPr>
      <w:r>
        <w:t>e)      Verifique que del lado de los productos la suma de pesos moleculares es 16+64=80 y que del lado de los productos es 44+36=80, es decir la misma cantidad.</w:t>
      </w:r>
    </w:p>
    <w:p w:rsidR="00835AF8" w:rsidRDefault="00FA42BA">
      <w:pPr>
        <w:rPr>
          <w:b/>
        </w:rPr>
      </w:pPr>
      <w:r>
        <w:rPr>
          <w:b/>
        </w:rPr>
        <w:t>ACTIVIDADES: completar el cuadro siguiendo los pasos antes explicados</w:t>
      </w:r>
    </w:p>
    <w:p w:rsidR="00835AF8" w:rsidRDefault="00FA42BA">
      <w:pPr>
        <w:ind w:left="360"/>
        <w:rPr>
          <w:b/>
        </w:rPr>
      </w:pPr>
      <w:r>
        <w:rPr>
          <w:b/>
        </w:rPr>
        <w:t xml:space="preserve">1.   </w:t>
      </w:r>
      <w:r>
        <w:rPr>
          <w:b/>
        </w:rPr>
        <w:tab/>
        <w:t xml:space="preserve"> </w:t>
      </w:r>
    </w:p>
    <w:tbl>
      <w:tblPr>
        <w:tblStyle w:val="a0"/>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50"/>
        <w:gridCol w:w="1545"/>
        <w:gridCol w:w="1590"/>
        <w:gridCol w:w="1590"/>
      </w:tblGrid>
      <w:tr w:rsidR="00835AF8">
        <w:trPr>
          <w:trHeight w:val="540"/>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b/>
                <w:vertAlign w:val="subscript"/>
              </w:rPr>
            </w:pPr>
            <w:r>
              <w:rPr>
                <w:b/>
              </w:rPr>
              <w:t>C</w:t>
            </w:r>
            <w:r>
              <w:rPr>
                <w:b/>
                <w:vertAlign w:val="subscript"/>
              </w:rPr>
              <w:t>3</w:t>
            </w:r>
            <w:r>
              <w:rPr>
                <w:b/>
              </w:rPr>
              <w:t>H</w:t>
            </w:r>
            <w:r>
              <w:rPr>
                <w:b/>
                <w:vertAlign w:val="subscript"/>
              </w:rPr>
              <w:t>8</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CO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rPr>
            </w:pPr>
            <w:r>
              <w:rPr>
                <w:color w:val="555555"/>
                <w:sz w:val="20"/>
                <w:szCs w:val="20"/>
              </w:rPr>
              <w:t>H</w:t>
            </w:r>
            <w:r>
              <w:rPr>
                <w:color w:val="555555"/>
                <w:sz w:val="20"/>
                <w:szCs w:val="20"/>
                <w:vertAlign w:val="subscript"/>
              </w:rPr>
              <w:t>2</w:t>
            </w:r>
            <w:r>
              <w:rPr>
                <w:color w:val="555555"/>
                <w:sz w:val="20"/>
                <w:szCs w:val="20"/>
              </w:rPr>
              <w:t>O</w:t>
            </w:r>
          </w:p>
        </w:tc>
      </w:tr>
      <w:tr w:rsidR="00835AF8">
        <w:trPr>
          <w:trHeight w:val="48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moles</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r w:rsidR="00835AF8">
        <w:trPr>
          <w:trHeight w:val="74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Peso molecular</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r w:rsidR="00835AF8">
        <w:trPr>
          <w:trHeight w:val="48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bl>
    <w:p w:rsidR="00835AF8" w:rsidRDefault="00FA42BA">
      <w:pPr>
        <w:ind w:left="360"/>
        <w:rPr>
          <w:b/>
        </w:rPr>
      </w:pPr>
      <w:r>
        <w:rPr>
          <w:b/>
        </w:rPr>
        <w:t xml:space="preserve">2.   </w:t>
      </w:r>
      <w:r>
        <w:rPr>
          <w:b/>
        </w:rPr>
        <w:tab/>
        <w:t xml:space="preserve"> </w:t>
      </w:r>
    </w:p>
    <w:tbl>
      <w:tblPr>
        <w:tblStyle w:val="a1"/>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65"/>
        <w:gridCol w:w="1530"/>
        <w:gridCol w:w="1590"/>
        <w:gridCol w:w="1590"/>
      </w:tblGrid>
      <w:tr w:rsidR="00835AF8">
        <w:trPr>
          <w:trHeight w:val="540"/>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b/>
                <w:vertAlign w:val="subscript"/>
              </w:rPr>
            </w:pPr>
            <w:r>
              <w:rPr>
                <w:b/>
              </w:rPr>
              <w:t>C</w:t>
            </w:r>
            <w:r>
              <w:rPr>
                <w:b/>
                <w:vertAlign w:val="subscript"/>
              </w:rPr>
              <w:t>5</w:t>
            </w:r>
            <w:r>
              <w:rPr>
                <w:b/>
              </w:rPr>
              <w:t>H</w:t>
            </w:r>
            <w:r>
              <w:rPr>
                <w:b/>
                <w:vertAlign w:val="subscript"/>
              </w:rPr>
              <w:t>12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CO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rPr>
            </w:pPr>
            <w:r>
              <w:rPr>
                <w:color w:val="555555"/>
                <w:sz w:val="20"/>
                <w:szCs w:val="20"/>
              </w:rPr>
              <w:t>H</w:t>
            </w:r>
            <w:r>
              <w:rPr>
                <w:color w:val="555555"/>
                <w:sz w:val="20"/>
                <w:szCs w:val="20"/>
                <w:vertAlign w:val="subscript"/>
              </w:rPr>
              <w:t>2</w:t>
            </w:r>
            <w:r>
              <w:rPr>
                <w:color w:val="555555"/>
                <w:sz w:val="20"/>
                <w:szCs w:val="20"/>
              </w:rPr>
              <w:t>O</w:t>
            </w:r>
          </w:p>
        </w:tc>
      </w:tr>
      <w:tr w:rsidR="00835AF8">
        <w:trPr>
          <w:trHeight w:val="48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moles</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r w:rsidR="00835AF8">
        <w:trPr>
          <w:trHeight w:val="74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Peso molecul</w:t>
            </w:r>
            <w:r>
              <w:rPr>
                <w:b/>
              </w:rPr>
              <w:lastRenderedPageBreak/>
              <w:t>ar</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lastRenderedPageBreak/>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bl>
    <w:p w:rsidR="00835AF8" w:rsidRDefault="00835AF8">
      <w:pPr>
        <w:ind w:left="360"/>
        <w:rPr>
          <w:b/>
        </w:rPr>
      </w:pPr>
    </w:p>
    <w:p w:rsidR="00835AF8" w:rsidRDefault="00FA42BA">
      <w:pPr>
        <w:ind w:left="360"/>
        <w:rPr>
          <w:b/>
        </w:rPr>
      </w:pPr>
      <w:r>
        <w:rPr>
          <w:b/>
        </w:rPr>
        <w:t xml:space="preserve">3.   </w:t>
      </w:r>
      <w:r>
        <w:rPr>
          <w:b/>
        </w:rPr>
        <w:tab/>
        <w:t xml:space="preserve"> </w:t>
      </w:r>
    </w:p>
    <w:p w:rsidR="00835AF8" w:rsidRDefault="00835AF8">
      <w:pPr>
        <w:rPr>
          <w:b/>
        </w:rPr>
      </w:pPr>
    </w:p>
    <w:tbl>
      <w:tblPr>
        <w:tblStyle w:val="a2"/>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65"/>
        <w:gridCol w:w="1530"/>
        <w:gridCol w:w="1590"/>
        <w:gridCol w:w="1590"/>
      </w:tblGrid>
      <w:tr w:rsidR="00835AF8">
        <w:trPr>
          <w:trHeight w:val="540"/>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b/>
                <w:vertAlign w:val="subscript"/>
              </w:rPr>
            </w:pPr>
            <w:r>
              <w:rPr>
                <w:b/>
              </w:rPr>
              <w:t>C</w:t>
            </w:r>
            <w:r>
              <w:rPr>
                <w:b/>
                <w:vertAlign w:val="subscript"/>
              </w:rPr>
              <w:t>7</w:t>
            </w:r>
            <w:r>
              <w:rPr>
                <w:b/>
              </w:rPr>
              <w:t>H</w:t>
            </w:r>
            <w:r>
              <w:rPr>
                <w:b/>
                <w:vertAlign w:val="subscript"/>
              </w:rPr>
              <w:t>16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CO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rPr>
            </w:pPr>
            <w:r>
              <w:rPr>
                <w:color w:val="555555"/>
                <w:sz w:val="20"/>
                <w:szCs w:val="20"/>
              </w:rPr>
              <w:t>H</w:t>
            </w:r>
            <w:r>
              <w:rPr>
                <w:color w:val="555555"/>
                <w:sz w:val="20"/>
                <w:szCs w:val="20"/>
                <w:vertAlign w:val="subscript"/>
              </w:rPr>
              <w:t>2</w:t>
            </w:r>
            <w:r>
              <w:rPr>
                <w:color w:val="555555"/>
                <w:sz w:val="20"/>
                <w:szCs w:val="20"/>
              </w:rPr>
              <w:t>O</w:t>
            </w:r>
          </w:p>
        </w:tc>
      </w:tr>
      <w:tr w:rsidR="00835AF8">
        <w:trPr>
          <w:trHeight w:val="48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moles</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r w:rsidR="00835AF8">
        <w:trPr>
          <w:trHeight w:val="74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Peso molecular</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bl>
    <w:p w:rsidR="00835AF8" w:rsidRDefault="00FA42BA">
      <w:pPr>
        <w:rPr>
          <w:b/>
        </w:rPr>
      </w:pPr>
      <w:r>
        <w:rPr>
          <w:b/>
        </w:rPr>
        <w:t xml:space="preserve"> </w:t>
      </w:r>
    </w:p>
    <w:p w:rsidR="00835AF8" w:rsidRDefault="00FA42BA">
      <w:pPr>
        <w:ind w:left="360"/>
        <w:rPr>
          <w:b/>
        </w:rPr>
      </w:pPr>
      <w:r>
        <w:rPr>
          <w:b/>
        </w:rPr>
        <w:t xml:space="preserve">4.   </w:t>
      </w:r>
      <w:r>
        <w:rPr>
          <w:b/>
        </w:rPr>
        <w:tab/>
        <w:t xml:space="preserve"> </w:t>
      </w:r>
    </w:p>
    <w:tbl>
      <w:tblPr>
        <w:tblStyle w:val="a3"/>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65"/>
        <w:gridCol w:w="1530"/>
        <w:gridCol w:w="1590"/>
        <w:gridCol w:w="1590"/>
      </w:tblGrid>
      <w:tr w:rsidR="00835AF8">
        <w:trPr>
          <w:trHeight w:val="540"/>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b/>
                <w:vertAlign w:val="subscript"/>
              </w:rPr>
            </w:pPr>
            <w:r>
              <w:rPr>
                <w:b/>
              </w:rPr>
              <w:t>C</w:t>
            </w:r>
            <w:r>
              <w:rPr>
                <w:b/>
                <w:vertAlign w:val="subscript"/>
              </w:rPr>
              <w:t>9</w:t>
            </w:r>
            <w:r>
              <w:rPr>
                <w:b/>
              </w:rPr>
              <w:t>H</w:t>
            </w:r>
            <w:r>
              <w:rPr>
                <w:b/>
                <w:vertAlign w:val="subscript"/>
              </w:rPr>
              <w:t>20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CO</w:t>
            </w:r>
            <w:r>
              <w:rPr>
                <w:color w:val="555555"/>
                <w:sz w:val="20"/>
                <w:szCs w:val="20"/>
                <w:vertAlign w:val="subscript"/>
              </w:rPr>
              <w:t>2</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rPr>
            </w:pPr>
            <w:r>
              <w:rPr>
                <w:color w:val="555555"/>
                <w:sz w:val="20"/>
                <w:szCs w:val="20"/>
              </w:rPr>
              <w:t>H</w:t>
            </w:r>
            <w:r>
              <w:rPr>
                <w:color w:val="555555"/>
                <w:sz w:val="20"/>
                <w:szCs w:val="20"/>
                <w:vertAlign w:val="subscript"/>
              </w:rPr>
              <w:t>2</w:t>
            </w:r>
            <w:r>
              <w:rPr>
                <w:color w:val="555555"/>
                <w:sz w:val="20"/>
                <w:szCs w:val="20"/>
              </w:rPr>
              <w:t>O</w:t>
            </w:r>
          </w:p>
        </w:tc>
      </w:tr>
      <w:tr w:rsidR="00835AF8">
        <w:trPr>
          <w:trHeight w:val="48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moles</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r w:rsidR="00835AF8">
        <w:trPr>
          <w:trHeight w:val="74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Peso molecular</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bl>
    <w:p w:rsidR="00835AF8" w:rsidRDefault="00FA42BA">
      <w:pPr>
        <w:rPr>
          <w:b/>
        </w:rPr>
      </w:pPr>
      <w:r>
        <w:rPr>
          <w:b/>
        </w:rPr>
        <w:t xml:space="preserve"> </w:t>
      </w:r>
    </w:p>
    <w:p w:rsidR="00835AF8" w:rsidRDefault="00FA42BA">
      <w:pPr>
        <w:ind w:left="360"/>
        <w:rPr>
          <w:b/>
        </w:rPr>
      </w:pPr>
      <w:r>
        <w:rPr>
          <w:b/>
        </w:rPr>
        <w:t xml:space="preserve">5.   </w:t>
      </w:r>
      <w:r>
        <w:rPr>
          <w:b/>
        </w:rPr>
        <w:tab/>
        <w:t xml:space="preserve"> </w:t>
      </w:r>
    </w:p>
    <w:tbl>
      <w:tblPr>
        <w:tblStyle w:val="a4"/>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95"/>
        <w:gridCol w:w="1530"/>
        <w:gridCol w:w="1575"/>
        <w:gridCol w:w="1575"/>
      </w:tblGrid>
      <w:tr w:rsidR="00835AF8">
        <w:trPr>
          <w:trHeight w:val="540"/>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b/>
                <w:vertAlign w:val="subscript"/>
              </w:rPr>
            </w:pPr>
            <w:r>
              <w:rPr>
                <w:b/>
              </w:rPr>
              <w:t>C</w:t>
            </w:r>
            <w:r>
              <w:rPr>
                <w:b/>
                <w:vertAlign w:val="subscript"/>
              </w:rPr>
              <w:t>11</w:t>
            </w:r>
            <w:r>
              <w:rPr>
                <w:b/>
              </w:rPr>
              <w:t>H</w:t>
            </w:r>
            <w:r>
              <w:rPr>
                <w:b/>
                <w:vertAlign w:val="subscript"/>
              </w:rPr>
              <w:t>24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O</w:t>
            </w:r>
            <w:r>
              <w:rPr>
                <w:color w:val="555555"/>
                <w:sz w:val="20"/>
                <w:szCs w:val="20"/>
                <w:vertAlign w:val="subscript"/>
              </w:rPr>
              <w:t>2</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vertAlign w:val="subscript"/>
              </w:rPr>
            </w:pPr>
            <w:r>
              <w:rPr>
                <w:color w:val="555555"/>
                <w:sz w:val="20"/>
                <w:szCs w:val="20"/>
              </w:rPr>
              <w:t>CO</w:t>
            </w:r>
            <w:r>
              <w:rPr>
                <w:color w:val="555555"/>
                <w:sz w:val="20"/>
                <w:szCs w:val="20"/>
                <w:vertAlign w:val="subscript"/>
              </w:rPr>
              <w:t>2</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jc w:val="center"/>
              <w:rPr>
                <w:color w:val="555555"/>
                <w:sz w:val="20"/>
                <w:szCs w:val="20"/>
              </w:rPr>
            </w:pPr>
            <w:r>
              <w:rPr>
                <w:color w:val="555555"/>
                <w:sz w:val="20"/>
                <w:szCs w:val="20"/>
              </w:rPr>
              <w:t>H</w:t>
            </w:r>
            <w:r>
              <w:rPr>
                <w:color w:val="555555"/>
                <w:sz w:val="20"/>
                <w:szCs w:val="20"/>
                <w:vertAlign w:val="subscript"/>
              </w:rPr>
              <w:t>2</w:t>
            </w:r>
            <w:r>
              <w:rPr>
                <w:color w:val="555555"/>
                <w:sz w:val="20"/>
                <w:szCs w:val="20"/>
              </w:rPr>
              <w:t>O</w:t>
            </w:r>
          </w:p>
        </w:tc>
      </w:tr>
      <w:tr w:rsidR="00835AF8">
        <w:trPr>
          <w:trHeight w:val="48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moles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r w:rsidR="00835AF8">
        <w:trPr>
          <w:trHeight w:val="74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Peso molecular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835AF8" w:rsidRDefault="00FA42BA">
            <w:pPr>
              <w:ind w:left="720"/>
              <w:rPr>
                <w:b/>
              </w:rPr>
            </w:pPr>
            <w:r>
              <w:rPr>
                <w:b/>
              </w:rPr>
              <w:t xml:space="preserve"> </w:t>
            </w:r>
          </w:p>
        </w:tc>
      </w:tr>
    </w:tbl>
    <w:p w:rsidR="00835AF8" w:rsidRDefault="00FA42BA">
      <w:pPr>
        <w:rPr>
          <w:b/>
        </w:rPr>
      </w:pPr>
      <w:r>
        <w:rPr>
          <w:b/>
        </w:rPr>
        <w:t xml:space="preserve"> </w:t>
      </w:r>
    </w:p>
    <w:p w:rsidR="00835AF8" w:rsidRDefault="00835AF8">
      <w:pPr>
        <w:rPr>
          <w:b/>
        </w:rPr>
      </w:pPr>
    </w:p>
    <w:p w:rsidR="00835AF8" w:rsidRDefault="00835AF8">
      <w:pPr>
        <w:rPr>
          <w:b/>
        </w:rPr>
      </w:pPr>
    </w:p>
    <w:p w:rsidR="00835AF8" w:rsidRDefault="00835AF8">
      <w:pPr>
        <w:rPr>
          <w:b/>
        </w:rPr>
      </w:pPr>
    </w:p>
    <w:p w:rsidR="00835AF8" w:rsidRDefault="00FA42BA">
      <w:pPr>
        <w:rPr>
          <w:b/>
        </w:rPr>
      </w:pPr>
      <w:r>
        <w:rPr>
          <w:b/>
        </w:rPr>
        <w:t xml:space="preserve"> ---------------------------------------------------------------</w:t>
      </w:r>
    </w:p>
    <w:p w:rsidR="00835AF8" w:rsidRDefault="00835AF8">
      <w:pPr>
        <w:rPr>
          <w:b/>
        </w:rPr>
      </w:pPr>
    </w:p>
    <w:p w:rsidR="00835AF8" w:rsidRDefault="00FA42BA">
      <w:pPr>
        <w:rPr>
          <w:b/>
        </w:rPr>
      </w:pPr>
      <w:r>
        <w:rPr>
          <w:b/>
        </w:rPr>
        <w:t xml:space="preserve"> Comunicación Cultura y Sociedad </w:t>
      </w:r>
      <w:r>
        <w:rPr>
          <w:b/>
        </w:rPr>
        <w:br/>
        <w:t xml:space="preserve">Profesora: Lic. Silvina </w:t>
      </w:r>
      <w:proofErr w:type="spellStart"/>
      <w:r>
        <w:rPr>
          <w:b/>
        </w:rPr>
        <w:t>Berruete</w:t>
      </w:r>
      <w:proofErr w:type="spellEnd"/>
      <w:r>
        <w:rPr>
          <w:b/>
        </w:rPr>
        <w:t xml:space="preserve"> </w:t>
      </w:r>
      <w:r>
        <w:rPr>
          <w:b/>
        </w:rPr>
        <w:br/>
        <w:t xml:space="preserve">Trabajo práctico. Discriminación, racismo, estereotipos y prejuicios. </w:t>
      </w:r>
      <w:r>
        <w:rPr>
          <w:b/>
        </w:rPr>
        <w:br/>
        <w:t>Consignas:</w:t>
      </w:r>
      <w:r>
        <w:rPr>
          <w:b/>
        </w:rPr>
        <w:br/>
        <w:t>1.</w:t>
      </w:r>
      <w:r>
        <w:rPr>
          <w:b/>
        </w:rPr>
        <w:tab/>
        <w:t xml:space="preserve">Definir  y ejemplificar los conceptos: discriminación, racismo, estereotipos y prejuicios. </w:t>
      </w:r>
      <w:r>
        <w:rPr>
          <w:b/>
        </w:rPr>
        <w:br/>
        <w:t>2.</w:t>
      </w:r>
      <w:r>
        <w:rPr>
          <w:b/>
        </w:rPr>
        <w:tab/>
        <w:t>Buscar e</w:t>
      </w:r>
      <w:r>
        <w:rPr>
          <w:b/>
        </w:rPr>
        <w:t>n diarios, revistas y/o Internet, dos ejemplos de propagandas gráficas en los que puedas identificar uno o algunos de los conceptos trabajados. Explicarlos.</w:t>
      </w:r>
      <w:r>
        <w:rPr>
          <w:b/>
        </w:rPr>
        <w:br/>
        <w:t>----------------------------------------------------------------</w:t>
      </w:r>
    </w:p>
    <w:p w:rsidR="00835AF8" w:rsidRDefault="00835AF8"/>
    <w:sectPr w:rsidR="00835AF8">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BA" w:rsidRDefault="00FA42BA">
      <w:pPr>
        <w:spacing w:line="240" w:lineRule="auto"/>
      </w:pPr>
      <w:r>
        <w:separator/>
      </w:r>
    </w:p>
  </w:endnote>
  <w:endnote w:type="continuationSeparator" w:id="0">
    <w:p w:rsidR="00FA42BA" w:rsidRDefault="00FA4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F8" w:rsidRDefault="00835AF8">
    <w:pPr>
      <w:rPr>
        <w:b/>
        <w:u w:val="single"/>
      </w:rPr>
    </w:pPr>
  </w:p>
  <w:p w:rsidR="00835AF8" w:rsidRDefault="00835AF8">
    <w:pPr>
      <w:rPr>
        <w:b/>
        <w:u w:val="single"/>
      </w:rPr>
    </w:pPr>
  </w:p>
  <w:p w:rsidR="00835AF8" w:rsidRDefault="00835AF8">
    <w:pPr>
      <w:rPr>
        <w:b/>
        <w:u w:val="single"/>
      </w:rPr>
    </w:pPr>
  </w:p>
  <w:p w:rsidR="00835AF8" w:rsidRDefault="00835AF8">
    <w:pPr>
      <w:rPr>
        <w:b/>
        <w:u w:val="single"/>
      </w:rPr>
    </w:pPr>
  </w:p>
  <w:p w:rsidR="00835AF8" w:rsidRDefault="00835AF8">
    <w:pPr>
      <w:rPr>
        <w:b/>
        <w:u w:val="single"/>
      </w:rPr>
    </w:pPr>
  </w:p>
  <w:p w:rsidR="00835AF8" w:rsidRDefault="00835AF8">
    <w:pPr>
      <w:rPr>
        <w:b/>
        <w:u w:val="single"/>
      </w:rPr>
    </w:pPr>
  </w:p>
  <w:p w:rsidR="00835AF8" w:rsidRDefault="00FA42BA">
    <w:pPr>
      <w:rPr>
        <w:b/>
        <w:u w:val="single"/>
      </w:rPr>
    </w:pPr>
    <w:r>
      <w:rPr>
        <w:b/>
        <w:u w:val="single"/>
      </w:rPr>
      <w:t xml:space="preserve"> </w:t>
    </w:r>
  </w:p>
  <w:p w:rsidR="00835AF8" w:rsidRDefault="00835AF8">
    <w:pPr>
      <w:rPr>
        <w:b/>
        <w:u w:val="single"/>
      </w:rPr>
    </w:pPr>
  </w:p>
  <w:p w:rsidR="00835AF8" w:rsidRDefault="00835AF8">
    <w:pPr>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BA" w:rsidRDefault="00FA42BA">
      <w:pPr>
        <w:spacing w:line="240" w:lineRule="auto"/>
      </w:pPr>
      <w:r>
        <w:separator/>
      </w:r>
    </w:p>
  </w:footnote>
  <w:footnote w:type="continuationSeparator" w:id="0">
    <w:p w:rsidR="00FA42BA" w:rsidRDefault="00FA42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35AF8"/>
    <w:rsid w:val="00835AF8"/>
    <w:rsid w:val="00B4268F"/>
    <w:rsid w:val="00FA42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4268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4268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agina12.com.ar/diario/ultimas/20-312158-2016-10-1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1132</Words>
  <Characters>6228</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2019-02-12T18:13:00Z</dcterms:created>
  <dcterms:modified xsi:type="dcterms:W3CDTF">2019-02-12T18:14:00Z</dcterms:modified>
</cp:coreProperties>
</file>