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9C" w:rsidRDefault="00746242">
      <w:pPr>
        <w:spacing w:after="200" w:line="310" w:lineRule="auto"/>
        <w:rPr>
          <w:b/>
        </w:rPr>
      </w:pPr>
      <w:r>
        <w:rPr>
          <w:b/>
        </w:rPr>
        <w:t>Profesora: Iglesias Miriam     Materia: Economía Política  Año 5  G</w:t>
      </w:r>
    </w:p>
    <w:p w:rsidR="00807A9C" w:rsidRDefault="00746242">
      <w:pPr>
        <w:spacing w:after="200" w:line="310" w:lineRule="auto"/>
      </w:pPr>
      <w:r>
        <w:t>“Así como Darwin descubrió la ley del desarrollo de la naturaleza orgánica, Marx descubrió la ley del desarrollo de la historia humana: el hecho tan sencillo, pero oculto hasta él bajo la maleza ideológica, de que el hombre necesita, en primer lugar, comer</w:t>
      </w:r>
      <w:r>
        <w:t>, beber, tener un techo y vestirse antes de poder hacer política, ciencia, arte, religión, &amp;c.; que, por tanto, la producción de los medios de vida inmediatos, materiales, y por consiguiente, la correspondiente fase económica de desarrollo de un pueblo o d</w:t>
      </w:r>
      <w:r>
        <w:t xml:space="preserve">e una época es la base a partir de la cual se han desarrollado las instituciones políticas, las concepciones jurídicas, las ideas artísticas e incluso las ideas religiosas de los hombres y con arreglo a la cual deben, por tanto, explicarse; y no al revés, </w:t>
      </w:r>
      <w:r>
        <w:t>como hasta entonces se había venido haciendo” (Engels, “Discurso ante la tumba de Marx”, en Marx/Engels, Obras escogidas, t. II, p. 155, Ed. esp., Moscú, 1952)</w:t>
      </w:r>
    </w:p>
    <w:p w:rsidR="00807A9C" w:rsidRDefault="00746242">
      <w:pPr>
        <w:spacing w:after="200" w:line="310" w:lineRule="auto"/>
      </w:pPr>
      <w:bookmarkStart w:id="0" w:name="_GoBack"/>
      <w:r>
        <w:rPr>
          <w:noProof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4050" cy="4432300"/>
            <wp:effectExtent l="0" t="0" r="0" b="635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3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7A9C" w:rsidRDefault="00807A9C"/>
    <w:p w:rsidR="00807A9C" w:rsidRDefault="00746242">
      <w:pPr>
        <w:spacing w:after="200" w:line="310" w:lineRule="auto"/>
      </w:pPr>
      <w:r>
        <w:t>Luego de leer y recordar lo que explicaba Marx sobre la relación la evolución de las sociedad</w:t>
      </w:r>
      <w:r>
        <w:t>es y los medios de producción, observa la imagen y explica de qué manera se relaciona con lo explicado por Marx. Actualmente se da la misma relación entre ambos sectores de la sociedad (dueños del capital y trabajadores).</w:t>
      </w:r>
    </w:p>
    <w:p w:rsidR="00807A9C" w:rsidRDefault="00746242">
      <w:r>
        <w:lastRenderedPageBreak/>
        <w:t>Materia: Cultura, Comunicación y s</w:t>
      </w:r>
      <w:r>
        <w:t>ociedad.</w:t>
      </w:r>
    </w:p>
    <w:p w:rsidR="00807A9C" w:rsidRDefault="00746242">
      <w:r>
        <w:t xml:space="preserve">Profe: </w:t>
      </w:r>
      <w:proofErr w:type="spellStart"/>
      <w:r>
        <w:t>Vicenzi</w:t>
      </w:r>
      <w:proofErr w:type="spellEnd"/>
      <w:r>
        <w:t>, Teresa.</w:t>
      </w:r>
    </w:p>
    <w:p w:rsidR="00807A9C" w:rsidRDefault="00746242">
      <w:r>
        <w:t xml:space="preserve"> </w:t>
      </w:r>
    </w:p>
    <w:p w:rsidR="00807A9C" w:rsidRDefault="00746242">
      <w:pPr>
        <w:rPr>
          <w:b/>
          <w:color w:val="DC500A"/>
          <w:sz w:val="21"/>
          <w:szCs w:val="21"/>
          <w:highlight w:val="white"/>
        </w:rPr>
      </w:pPr>
      <w:r>
        <w:rPr>
          <w:b/>
        </w:rPr>
        <w:t>En esta oportunidad, vamos a continuar trabajando en el tema de los estereotipos</w:t>
      </w:r>
    </w:p>
    <w:p w:rsidR="00807A9C" w:rsidRDefault="00746242">
      <w:pPr>
        <w:rPr>
          <w:b/>
          <w:color w:val="333333"/>
          <w:sz w:val="17"/>
          <w:szCs w:val="17"/>
          <w:highlight w:val="white"/>
        </w:rPr>
      </w:pPr>
      <w:r>
        <w:rPr>
          <w:color w:val="333333"/>
          <w:sz w:val="17"/>
          <w:szCs w:val="17"/>
          <w:highlight w:val="white"/>
        </w:rPr>
        <w:t>Nacemos perteneciendo a grupos sociales. Poco a poco, cada persona va tomando conciencia de su pertenencia a esos grupos. Del mismo modo que</w:t>
      </w:r>
      <w:r>
        <w:rPr>
          <w:color w:val="333333"/>
          <w:sz w:val="17"/>
          <w:szCs w:val="17"/>
          <w:highlight w:val="white"/>
        </w:rPr>
        <w:t xml:space="preserve"> se adquiere una identidad personal, se adquiere una identidad social. Al aprehender las manifestaciones culturales de nuestro grupo se asimila la </w:t>
      </w:r>
      <w:r>
        <w:rPr>
          <w:b/>
          <w:color w:val="333333"/>
          <w:sz w:val="17"/>
          <w:szCs w:val="17"/>
          <w:highlight w:val="white"/>
        </w:rPr>
        <w:t>identidad cultural.</w:t>
      </w:r>
    </w:p>
    <w:p w:rsidR="00807A9C" w:rsidRDefault="00746242">
      <w:pPr>
        <w:rPr>
          <w:color w:val="333333"/>
          <w:sz w:val="17"/>
          <w:szCs w:val="17"/>
          <w:highlight w:val="white"/>
        </w:rPr>
      </w:pPr>
      <w:r>
        <w:rPr>
          <w:color w:val="333333"/>
          <w:sz w:val="17"/>
          <w:szCs w:val="17"/>
          <w:highlight w:val="white"/>
        </w:rPr>
        <w:t>Ni las personas ni los grupos viven aislados, por lo que esas identidades se adquieren po</w:t>
      </w:r>
      <w:r>
        <w:rPr>
          <w:color w:val="333333"/>
          <w:sz w:val="17"/>
          <w:szCs w:val="17"/>
          <w:highlight w:val="white"/>
        </w:rPr>
        <w:t>r comparación a otras personas, otros grupos, otras culturas. De esta percepción social y de los procesos de socialización, surgen los estereotipos sobre los que se instalan los prejuicios y la discriminación</w:t>
      </w:r>
    </w:p>
    <w:p w:rsidR="00807A9C" w:rsidRDefault="00807A9C">
      <w:pPr>
        <w:rPr>
          <w:color w:val="333333"/>
          <w:sz w:val="17"/>
          <w:szCs w:val="17"/>
          <w:highlight w:val="white"/>
        </w:rPr>
      </w:pPr>
    </w:p>
    <w:p w:rsidR="00807A9C" w:rsidRDefault="00807A9C">
      <w:pPr>
        <w:rPr>
          <w:color w:val="333333"/>
          <w:sz w:val="17"/>
          <w:szCs w:val="17"/>
          <w:highlight w:val="white"/>
        </w:rPr>
      </w:pPr>
    </w:p>
    <w:p w:rsidR="00807A9C" w:rsidRDefault="00746242">
      <w:pPr>
        <w:rPr>
          <w:color w:val="333333"/>
          <w:sz w:val="17"/>
          <w:szCs w:val="17"/>
          <w:highlight w:val="white"/>
        </w:rPr>
      </w:pPr>
      <w:proofErr w:type="gramStart"/>
      <w:r>
        <w:rPr>
          <w:b/>
          <w:color w:val="333333"/>
          <w:sz w:val="17"/>
          <w:szCs w:val="17"/>
          <w:highlight w:val="white"/>
        </w:rPr>
        <w:t>Estereotipos</w:t>
      </w:r>
      <w:r>
        <w:rPr>
          <w:color w:val="333333"/>
          <w:sz w:val="17"/>
          <w:szCs w:val="17"/>
          <w:highlight w:val="white"/>
        </w:rPr>
        <w:t xml:space="preserve"> :</w:t>
      </w:r>
      <w:proofErr w:type="gramEnd"/>
    </w:p>
    <w:tbl>
      <w:tblPr>
        <w:tblStyle w:val="a"/>
        <w:tblW w:w="865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165"/>
      </w:tblGrid>
      <w:tr w:rsidR="00807A9C">
        <w:trPr>
          <w:trHeight w:val="3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DEFINICIÓN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RASGOS FUNDAMENTALE</w:t>
            </w:r>
            <w:r>
              <w:rPr>
                <w:b/>
                <w:color w:val="333333"/>
                <w:sz w:val="17"/>
                <w:szCs w:val="17"/>
              </w:rPr>
              <w:t>S</w:t>
            </w:r>
          </w:p>
        </w:tc>
      </w:tr>
      <w:tr w:rsidR="00807A9C">
        <w:trPr>
          <w:trHeight w:val="12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 xml:space="preserve">Los estereotipos se pueden definir de diferentes formas: 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 xml:space="preserve">- rasgos que se atribuyen a un grupo; 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imagen mental simplificada de los miembros de un grupo compartida socialmente;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creencias que atribuyen características a los miembros de un grupo.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 xml:space="preserve">- son compartidos por mucha gente, no son imágenes mentales de una persona solamente 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se atribuyen a una persona como miembro de un grupo y no como persona individual.</w:t>
            </w:r>
          </w:p>
        </w:tc>
      </w:tr>
      <w:tr w:rsidR="00807A9C">
        <w:trPr>
          <w:trHeight w:val="3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CARACTERÍSTICAS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¿POR QUÉ SON PERJUDICIALES?</w:t>
            </w:r>
          </w:p>
        </w:tc>
      </w:tr>
      <w:tr w:rsidR="00807A9C">
        <w:trPr>
          <w:trHeight w:val="24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pueden ser positivos, neutros o negativos.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 xml:space="preserve">- son muy resistentes al cambio, se mantienen aun cuando existan evidencias en su contra. 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por el contrario, son recordados con más facilidad cuando la información es congruente con el estereotipo que se tiene.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 xml:space="preserve">- simplifican la realidad, generalizan y completan la información cuando esta es ambigua, 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orientan las expectativas que se tienen s</w:t>
            </w:r>
            <w:r>
              <w:rPr>
                <w:color w:val="333333"/>
                <w:sz w:val="17"/>
                <w:szCs w:val="17"/>
              </w:rPr>
              <w:t>obre una persona, grupo o cultura.</w:t>
            </w:r>
          </w:p>
          <w:p w:rsidR="00807A9C" w:rsidRDefault="00746242">
            <w:pPr>
              <w:rPr>
                <w:color w:val="006621"/>
                <w:sz w:val="21"/>
                <w:szCs w:val="21"/>
                <w:highlight w:val="white"/>
              </w:rPr>
            </w:pPr>
            <w:r>
              <w:rPr>
                <w:color w:val="333333"/>
                <w:sz w:val="17"/>
                <w:szCs w:val="17"/>
              </w:rPr>
              <w:t>Fuente:</w:t>
            </w:r>
            <w:r>
              <w:rPr>
                <w:color w:val="006621"/>
                <w:sz w:val="21"/>
                <w:szCs w:val="21"/>
                <w:highlight w:val="white"/>
              </w:rPr>
              <w:t xml:space="preserve"> www.formacionsve.es/salida/3_1_2_identidad_cultural.ph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 xml:space="preserve">- Impiden que se trate a cada miembro del grupo individualmente. 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 xml:space="preserve">- Derivan en expectativas cerradas sobre la conducta. 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Hacen que se espere que los miembro</w:t>
            </w:r>
            <w:r>
              <w:rPr>
                <w:color w:val="333333"/>
                <w:sz w:val="17"/>
                <w:szCs w:val="17"/>
              </w:rPr>
              <w:t>s del grupo estereotipado se comporten de una manera determinada.</w:t>
            </w:r>
          </w:p>
          <w:p w:rsidR="00807A9C" w:rsidRDefault="00746242">
            <w:pPr>
              <w:rPr>
                <w:color w:val="333333"/>
                <w:sz w:val="17"/>
                <w:szCs w:val="17"/>
              </w:rPr>
            </w:pPr>
            <w:r>
              <w:rPr>
                <w:color w:val="333333"/>
                <w:sz w:val="17"/>
                <w:szCs w:val="17"/>
              </w:rPr>
              <w:t>- Llevan a hacer suposiciones erróneas que refuerzan los prejuicios</w:t>
            </w:r>
          </w:p>
        </w:tc>
      </w:tr>
    </w:tbl>
    <w:p w:rsidR="00807A9C" w:rsidRDefault="00746242">
      <w:pPr>
        <w:rPr>
          <w:b/>
        </w:rPr>
      </w:pPr>
      <w:r>
        <w:rPr>
          <w:b/>
        </w:rPr>
        <w:t>En la actividad anterior, trabajamos con los estereotipos de género, que se definen cómo:</w:t>
      </w:r>
    </w:p>
    <w:p w:rsidR="00807A9C" w:rsidRDefault="00746242">
      <w:pPr>
        <w:spacing w:before="120" w:after="120"/>
        <w:rPr>
          <w:color w:val="222222"/>
          <w:sz w:val="18"/>
          <w:szCs w:val="18"/>
          <w:highlight w:val="white"/>
        </w:rPr>
      </w:pPr>
      <w:r>
        <w:rPr>
          <w:color w:val="222222"/>
          <w:sz w:val="18"/>
          <w:szCs w:val="18"/>
          <w:highlight w:val="white"/>
        </w:rPr>
        <w:t xml:space="preserve">Los </w:t>
      </w:r>
      <w:r>
        <w:rPr>
          <w:b/>
          <w:color w:val="222222"/>
          <w:sz w:val="18"/>
          <w:szCs w:val="18"/>
          <w:highlight w:val="white"/>
        </w:rPr>
        <w:t>estereotipos de género</w:t>
      </w:r>
      <w:r>
        <w:rPr>
          <w:color w:val="222222"/>
          <w:sz w:val="18"/>
          <w:szCs w:val="18"/>
          <w:highlight w:val="white"/>
        </w:rPr>
        <w:t xml:space="preserve"> son </w:t>
      </w:r>
      <w:r>
        <w:rPr>
          <w:color w:val="222222"/>
          <w:sz w:val="18"/>
          <w:szCs w:val="18"/>
          <w:highlight w:val="white"/>
        </w:rPr>
        <w:t>el conjunto de ideas preconcebidas utilizadas para explicar el comportamiento de varones y mujeres, generadas en torno a la idea sobre cómo deben comportarse y los papeles que deben desempeñar en el trabajo, la familia, el espacio público además de cómo de</w:t>
      </w:r>
      <w:r>
        <w:rPr>
          <w:color w:val="222222"/>
          <w:sz w:val="18"/>
          <w:szCs w:val="18"/>
          <w:highlight w:val="white"/>
        </w:rPr>
        <w:t>ben relacionarse entre sí. Cada cultura elabora sus propios estereotipos de género que dependen de los roles en los marcos sociales en los que se construyen; sin embargo, numerosos estudios han encontrado elementos en común universales.</w:t>
      </w:r>
    </w:p>
    <w:p w:rsidR="00807A9C" w:rsidRDefault="00746242">
      <w:pPr>
        <w:spacing w:before="120" w:after="120"/>
        <w:rPr>
          <w:sz w:val="18"/>
          <w:szCs w:val="18"/>
        </w:rPr>
      </w:pPr>
      <w:r>
        <w:rPr>
          <w:color w:val="222222"/>
          <w:sz w:val="18"/>
          <w:szCs w:val="18"/>
          <w:highlight w:val="white"/>
        </w:rPr>
        <w:t>Los estereotipos de</w:t>
      </w:r>
      <w:r>
        <w:rPr>
          <w:color w:val="222222"/>
          <w:sz w:val="18"/>
          <w:szCs w:val="18"/>
          <w:highlight w:val="white"/>
        </w:rPr>
        <w:t xml:space="preserve"> género se incorporan a través del aprendizaje en la socialización y con frecuencia no existe justificación racional; sin embargo, influyen en actitudes y conductas; por ello son utilizados con frecuencia en la </w:t>
      </w:r>
      <w:hyperlink r:id="rId6">
        <w:r>
          <w:rPr>
            <w:color w:val="0B0080"/>
            <w:sz w:val="18"/>
            <w:szCs w:val="18"/>
            <w:highlight w:val="white"/>
          </w:rPr>
          <w:t>mercadotecnia</w:t>
        </w:r>
      </w:hyperlink>
      <w:r>
        <w:rPr>
          <w:color w:val="222222"/>
          <w:sz w:val="18"/>
          <w:szCs w:val="18"/>
          <w:highlight w:val="white"/>
        </w:rPr>
        <w:t xml:space="preserve">, la publicidad, el cine y los medios de comunicación </w:t>
      </w:r>
      <w:r>
        <w:rPr>
          <w:sz w:val="18"/>
          <w:szCs w:val="18"/>
        </w:rPr>
        <w:t>(fuente: Wikipedia)</w:t>
      </w:r>
    </w:p>
    <w:p w:rsidR="00807A9C" w:rsidRDefault="00746242">
      <w:pPr>
        <w:ind w:left="360"/>
        <w:rPr>
          <w:b/>
        </w:rPr>
      </w:pPr>
      <w:r>
        <w:rPr>
          <w:b/>
        </w:rPr>
        <w:t>1-      ¿qué rasgos de los estereotipos podemos encontrar en los estereotipos de género?</w:t>
      </w:r>
    </w:p>
    <w:p w:rsidR="00807A9C" w:rsidRDefault="00746242">
      <w:pPr>
        <w:ind w:left="360"/>
        <w:rPr>
          <w:b/>
        </w:rPr>
      </w:pPr>
      <w:r>
        <w:rPr>
          <w:b/>
        </w:rPr>
        <w:t xml:space="preserve">2-      </w:t>
      </w:r>
      <w:proofErr w:type="spellStart"/>
      <w:r>
        <w:rPr>
          <w:b/>
        </w:rPr>
        <w:t>Buscá</w:t>
      </w:r>
      <w:proofErr w:type="spellEnd"/>
      <w:r>
        <w:rPr>
          <w:b/>
        </w:rPr>
        <w:t xml:space="preserve"> tres tipos más de estereotipos sociales y culturales y explícalos. Algunos enlaces de utilidad:</w:t>
      </w:r>
    </w:p>
    <w:p w:rsidR="00807A9C" w:rsidRDefault="00746242">
      <w:pPr>
        <w:rPr>
          <w:color w:val="1155CC"/>
          <w:sz w:val="21"/>
          <w:szCs w:val="21"/>
          <w:highlight w:val="white"/>
          <w:u w:val="single"/>
        </w:rPr>
      </w:pPr>
      <w:r>
        <w:fldChar w:fldCharType="begin"/>
      </w:r>
      <w:r>
        <w:instrText xml:space="preserve"> HYPERLINK "https://10ejemplos.com/10-ejemplos-de-estereotipos" </w:instrText>
      </w:r>
      <w:r>
        <w:fldChar w:fldCharType="separate"/>
      </w:r>
      <w:r>
        <w:rPr>
          <w:color w:val="1155CC"/>
          <w:sz w:val="21"/>
          <w:szCs w:val="21"/>
          <w:highlight w:val="white"/>
          <w:u w:val="single"/>
        </w:rPr>
        <w:t>https://10ejemplos.com/10-ejemplos-de-estereotipos</w:t>
      </w:r>
    </w:p>
    <w:p w:rsidR="00807A9C" w:rsidRDefault="00746242">
      <w:pPr>
        <w:rPr>
          <w:color w:val="1155CC"/>
          <w:sz w:val="21"/>
          <w:szCs w:val="21"/>
          <w:highlight w:val="white"/>
          <w:u w:val="single"/>
        </w:rPr>
      </w:pPr>
      <w:r>
        <w:fldChar w:fldCharType="end"/>
      </w:r>
      <w:r>
        <w:fldChar w:fldCharType="begin"/>
      </w:r>
      <w:r>
        <w:instrText xml:space="preserve"> HYPERLINK "https://www.ejem</w:instrText>
      </w:r>
      <w:r>
        <w:instrText xml:space="preserve">plos.co/20-ejemplos-de-estereotipos" </w:instrText>
      </w:r>
      <w:r>
        <w:fldChar w:fldCharType="separate"/>
      </w:r>
      <w:r>
        <w:rPr>
          <w:color w:val="1155CC"/>
          <w:sz w:val="21"/>
          <w:szCs w:val="21"/>
          <w:highlight w:val="white"/>
          <w:u w:val="single"/>
        </w:rPr>
        <w:t>https://www.ejemplos.co/20-ejemplos-de-estereotipos</w:t>
      </w:r>
    </w:p>
    <w:p w:rsidR="00807A9C" w:rsidRDefault="00746242">
      <w:pPr>
        <w:rPr>
          <w:color w:val="006621"/>
          <w:sz w:val="21"/>
          <w:szCs w:val="21"/>
          <w:highlight w:val="white"/>
        </w:rPr>
      </w:pPr>
      <w:r>
        <w:fldChar w:fldCharType="end"/>
      </w:r>
      <w:r>
        <w:rPr>
          <w:color w:val="006621"/>
          <w:sz w:val="21"/>
          <w:szCs w:val="21"/>
          <w:highlight w:val="white"/>
        </w:rPr>
        <w:t xml:space="preserve"> </w:t>
      </w:r>
    </w:p>
    <w:p w:rsidR="00807A9C" w:rsidRDefault="00746242">
      <w:pPr>
        <w:ind w:left="360"/>
        <w:rPr>
          <w:b/>
          <w:color w:val="006621"/>
          <w:sz w:val="21"/>
          <w:szCs w:val="21"/>
          <w:highlight w:val="white"/>
        </w:rPr>
      </w:pPr>
      <w:r>
        <w:rPr>
          <w:b/>
          <w:color w:val="006621"/>
          <w:sz w:val="21"/>
          <w:szCs w:val="21"/>
        </w:rPr>
        <w:lastRenderedPageBreak/>
        <w:t>3-</w:t>
      </w:r>
      <w:r>
        <w:rPr>
          <w:b/>
          <w:color w:val="006621"/>
          <w:sz w:val="21"/>
          <w:szCs w:val="21"/>
        </w:rPr>
        <w:tab/>
      </w:r>
      <w:r>
        <w:rPr>
          <w:b/>
          <w:color w:val="006621"/>
          <w:sz w:val="21"/>
          <w:szCs w:val="21"/>
          <w:highlight w:val="white"/>
        </w:rPr>
        <w:t xml:space="preserve"> ¿</w:t>
      </w:r>
      <w:proofErr w:type="spellStart"/>
      <w:proofErr w:type="gramStart"/>
      <w:r>
        <w:rPr>
          <w:b/>
          <w:color w:val="006621"/>
          <w:sz w:val="21"/>
          <w:szCs w:val="21"/>
          <w:highlight w:val="white"/>
        </w:rPr>
        <w:t>Porqué</w:t>
      </w:r>
      <w:proofErr w:type="spellEnd"/>
      <w:proofErr w:type="gramEnd"/>
      <w:r>
        <w:rPr>
          <w:b/>
          <w:color w:val="006621"/>
          <w:sz w:val="21"/>
          <w:szCs w:val="21"/>
          <w:highlight w:val="white"/>
        </w:rPr>
        <w:t xml:space="preserve"> te parece que los estereotipos podrían generar prejuicio o discriminación hacia personas o grupos?</w:t>
      </w:r>
    </w:p>
    <w:p w:rsidR="00807A9C" w:rsidRDefault="00746242">
      <w:pPr>
        <w:ind w:left="360"/>
        <w:rPr>
          <w:color w:val="006621"/>
          <w:sz w:val="21"/>
          <w:szCs w:val="21"/>
          <w:highlight w:val="white"/>
        </w:rPr>
      </w:pPr>
      <w:r>
        <w:rPr>
          <w:color w:val="006621"/>
          <w:sz w:val="21"/>
          <w:szCs w:val="21"/>
          <w:highlight w:val="white"/>
        </w:rPr>
        <w:t>------------------------------------------------------------------------------------------------------------------------------</w:t>
      </w:r>
    </w:p>
    <w:p w:rsidR="00807A9C" w:rsidRDefault="00746242">
      <w:pPr>
        <w:rPr>
          <w:color w:val="006621"/>
          <w:sz w:val="21"/>
          <w:szCs w:val="21"/>
          <w:highlight w:val="white"/>
        </w:rPr>
      </w:pPr>
      <w:r>
        <w:rPr>
          <w:color w:val="006621"/>
          <w:sz w:val="21"/>
          <w:szCs w:val="21"/>
          <w:highlight w:val="white"/>
        </w:rPr>
        <w:t xml:space="preserve"> </w:t>
      </w:r>
    </w:p>
    <w:p w:rsidR="00807A9C" w:rsidRDefault="00746242">
      <w:r>
        <w:t xml:space="preserve">Curso: 5G </w:t>
      </w:r>
      <w:proofErr w:type="spellStart"/>
      <w:r>
        <w:t>T.m</w:t>
      </w:r>
      <w:proofErr w:type="spellEnd"/>
      <w:r>
        <w:t xml:space="preserve">. </w:t>
      </w:r>
    </w:p>
    <w:p w:rsidR="00807A9C" w:rsidRDefault="00746242">
      <w:proofErr w:type="gramStart"/>
      <w:r>
        <w:t>ASIGNATURA :</w:t>
      </w:r>
      <w:proofErr w:type="gramEnd"/>
      <w:r>
        <w:t xml:space="preserve"> GEOGRAFIA</w:t>
      </w:r>
    </w:p>
    <w:p w:rsidR="00807A9C" w:rsidRDefault="00746242">
      <w:r>
        <w:t>PROFESOR: GONZALEZ, ALBANA</w:t>
      </w:r>
    </w:p>
    <w:p w:rsidR="00807A9C" w:rsidRDefault="00746242">
      <w:r>
        <w:t>ACTIVIDAD VIRTUAL N’ 2:</w:t>
      </w:r>
    </w:p>
    <w:p w:rsidR="00807A9C" w:rsidRDefault="00807A9C"/>
    <w:p w:rsidR="00807A9C" w:rsidRDefault="00746242">
      <w:r>
        <w:t xml:space="preserve">1- Leer la siguiente nota </w:t>
      </w:r>
      <w:hyperlink r:id="rId7">
        <w:r>
          <w:rPr>
            <w:color w:val="1155CC"/>
            <w:u w:val="single"/>
          </w:rPr>
          <w:t xml:space="preserve">glifosato </w:t>
        </w:r>
        <w:proofErr w:type="spellStart"/>
        <w:r>
          <w:rPr>
            <w:color w:val="1155CC"/>
            <w:u w:val="single"/>
          </w:rPr>
          <w:t>tomasi</w:t>
        </w:r>
        <w:proofErr w:type="spellEnd"/>
      </w:hyperlink>
      <w:r>
        <w:t xml:space="preserve"> </w:t>
      </w:r>
    </w:p>
    <w:p w:rsidR="00807A9C" w:rsidRDefault="00746242">
      <w:r>
        <w:t xml:space="preserve">A- responder: ¿Qué es el </w:t>
      </w:r>
      <w:proofErr w:type="spellStart"/>
      <w:r>
        <w:t>Glifisato</w:t>
      </w:r>
      <w:proofErr w:type="spellEnd"/>
      <w:r>
        <w:t xml:space="preserve">? </w:t>
      </w:r>
    </w:p>
    <w:p w:rsidR="00807A9C" w:rsidRDefault="00746242">
      <w:r>
        <w:t xml:space="preserve">B- </w:t>
      </w:r>
      <w:proofErr w:type="gramStart"/>
      <w:r>
        <w:t>¿ para</w:t>
      </w:r>
      <w:proofErr w:type="gramEnd"/>
      <w:r>
        <w:t xml:space="preserve"> qué se utiliza?</w:t>
      </w:r>
    </w:p>
    <w:p w:rsidR="00807A9C" w:rsidRDefault="00746242">
      <w:r>
        <w:t xml:space="preserve">3- </w:t>
      </w:r>
      <w:proofErr w:type="gramStart"/>
      <w:r>
        <w:t xml:space="preserve">¿ </w:t>
      </w:r>
      <w:proofErr w:type="spellStart"/>
      <w:r>
        <w:t>que</w:t>
      </w:r>
      <w:proofErr w:type="spellEnd"/>
      <w:proofErr w:type="gramEnd"/>
      <w:r>
        <w:t xml:space="preserve"> sucedió con el señor </w:t>
      </w:r>
      <w:proofErr w:type="spellStart"/>
      <w:r>
        <w:t>T</w:t>
      </w:r>
      <w:r>
        <w:t>omasi</w:t>
      </w:r>
      <w:proofErr w:type="spellEnd"/>
      <w:r>
        <w:t xml:space="preserve">? </w:t>
      </w:r>
    </w:p>
    <w:p w:rsidR="00807A9C" w:rsidRDefault="00746242">
      <w:r>
        <w:t xml:space="preserve">4- </w:t>
      </w:r>
      <w:proofErr w:type="gramStart"/>
      <w:r>
        <w:t>¿ en</w:t>
      </w:r>
      <w:proofErr w:type="gramEnd"/>
      <w:r>
        <w:t xml:space="preserve"> otros países está prohibido el uso de éste </w:t>
      </w:r>
      <w:proofErr w:type="spellStart"/>
      <w:r>
        <w:t>agroquimico</w:t>
      </w:r>
      <w:proofErr w:type="spellEnd"/>
      <w:r>
        <w:t>? ¿</w:t>
      </w:r>
      <w:proofErr w:type="gramStart"/>
      <w:r>
        <w:t>por</w:t>
      </w:r>
      <w:proofErr w:type="gramEnd"/>
      <w:r>
        <w:t xml:space="preserve"> qué? ¿ </w:t>
      </w:r>
      <w:proofErr w:type="gramStart"/>
      <w:r>
        <w:t>y</w:t>
      </w:r>
      <w:proofErr w:type="gramEnd"/>
      <w:r>
        <w:t xml:space="preserve"> en Argentina?</w:t>
      </w:r>
    </w:p>
    <w:p w:rsidR="00807A9C" w:rsidRDefault="00746242">
      <w:r>
        <w:t>5- ¿</w:t>
      </w:r>
      <w:proofErr w:type="spellStart"/>
      <w:r>
        <w:t>cual</w:t>
      </w:r>
      <w:proofErr w:type="spellEnd"/>
      <w:r>
        <w:t xml:space="preserve"> es tu opinión acerca de</w:t>
      </w:r>
    </w:p>
    <w:p w:rsidR="00807A9C" w:rsidRDefault="00746242">
      <w:r>
        <w:t xml:space="preserve"> </w:t>
      </w:r>
      <w:proofErr w:type="gramStart"/>
      <w:r>
        <w:t>la</w:t>
      </w:r>
      <w:proofErr w:type="gramEnd"/>
      <w:r>
        <w:t xml:space="preserve"> nota?</w:t>
      </w:r>
    </w:p>
    <w:p w:rsidR="00807A9C" w:rsidRDefault="00807A9C"/>
    <w:p w:rsidR="00807A9C" w:rsidRDefault="00746242">
      <w:r>
        <w:pict>
          <v:rect id="_x0000_i1025" style="width:0;height:1.5pt" o:hralign="center" o:hrstd="t" o:hr="t" fillcolor="#a0a0a0" stroked="f"/>
        </w:pict>
      </w:r>
    </w:p>
    <w:p w:rsidR="00807A9C" w:rsidRDefault="00746242">
      <w:pPr>
        <w:jc w:val="center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Introduccion</w:t>
      </w:r>
      <w:proofErr w:type="spellEnd"/>
      <w:r>
        <w:rPr>
          <w:b/>
          <w:i/>
          <w:u w:val="single"/>
        </w:rPr>
        <w:t xml:space="preserve"> a la </w:t>
      </w:r>
      <w:proofErr w:type="spellStart"/>
      <w:r>
        <w:rPr>
          <w:b/>
          <w:i/>
          <w:u w:val="single"/>
        </w:rPr>
        <w:t>Quimica</w:t>
      </w:r>
      <w:proofErr w:type="spellEnd"/>
      <w:r>
        <w:rPr>
          <w:b/>
          <w:i/>
          <w:u w:val="single"/>
        </w:rPr>
        <w:t xml:space="preserve"> 5to B, </w:t>
      </w:r>
    </w:p>
    <w:p w:rsidR="00807A9C" w:rsidRDefault="0074624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Profesor </w:t>
      </w:r>
      <w:proofErr w:type="spellStart"/>
      <w:r>
        <w:rPr>
          <w:b/>
          <w:i/>
          <w:u w:val="single"/>
        </w:rPr>
        <w:t>Lopez</w:t>
      </w:r>
      <w:proofErr w:type="spellEnd"/>
      <w:r>
        <w:rPr>
          <w:b/>
          <w:i/>
          <w:u w:val="single"/>
        </w:rPr>
        <w:t xml:space="preserve"> Alejandro</w:t>
      </w:r>
    </w:p>
    <w:p w:rsidR="00807A9C" w:rsidRDefault="00746242">
      <w:r>
        <w:t xml:space="preserve"> </w:t>
      </w:r>
    </w:p>
    <w:p w:rsidR="00807A9C" w:rsidRDefault="00746242">
      <w:pPr>
        <w:ind w:left="1080" w:hanging="360"/>
      </w:pPr>
      <w:r>
        <w:t>1)      Representar mediante formula desarrollada  a los siguientes compuestos químicos:</w:t>
      </w:r>
    </w:p>
    <w:p w:rsidR="00807A9C" w:rsidRDefault="00746242">
      <w:pPr>
        <w:ind w:left="1800" w:hanging="360"/>
      </w:pPr>
      <w:r>
        <w:t>A.      Butano</w:t>
      </w:r>
    </w:p>
    <w:p w:rsidR="00807A9C" w:rsidRDefault="00746242">
      <w:pPr>
        <w:ind w:left="1800" w:hanging="360"/>
      </w:pPr>
      <w:r>
        <w:t>B.      Hexano</w:t>
      </w:r>
    </w:p>
    <w:p w:rsidR="00807A9C" w:rsidRDefault="00746242">
      <w:pPr>
        <w:ind w:left="1800" w:hanging="360"/>
      </w:pPr>
      <w:r>
        <w:t xml:space="preserve">C.      2 </w:t>
      </w:r>
      <w:proofErr w:type="spellStart"/>
      <w:r>
        <w:t>metil</w:t>
      </w:r>
      <w:proofErr w:type="spellEnd"/>
      <w:r>
        <w:t xml:space="preserve"> 3 </w:t>
      </w:r>
      <w:proofErr w:type="spellStart"/>
      <w:r>
        <w:t>etil</w:t>
      </w:r>
      <w:proofErr w:type="spellEnd"/>
      <w:r>
        <w:t xml:space="preserve"> heptano</w:t>
      </w:r>
    </w:p>
    <w:p w:rsidR="00807A9C" w:rsidRDefault="00746242">
      <w:pPr>
        <w:ind w:left="1800" w:hanging="360"/>
      </w:pPr>
      <w:r>
        <w:t xml:space="preserve">D.      5 </w:t>
      </w:r>
      <w:proofErr w:type="spellStart"/>
      <w:r>
        <w:t>propil</w:t>
      </w:r>
      <w:proofErr w:type="spellEnd"/>
      <w:r>
        <w:t xml:space="preserve"> octano</w:t>
      </w:r>
    </w:p>
    <w:p w:rsidR="00807A9C" w:rsidRDefault="00807A9C"/>
    <w:sectPr w:rsidR="00807A9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07A9C"/>
    <w:rsid w:val="00746242"/>
    <w:rsid w:val="008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6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6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bae.com/sociedad/2018/09/07/murio-fabian-tomasi-un-simbolo-de-los-estragos-que-provocan-los-agroquimicos-en-el-cuerp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ercadotecn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2019-02-12T18:15:00Z</dcterms:created>
  <dcterms:modified xsi:type="dcterms:W3CDTF">2019-02-12T18:15:00Z</dcterms:modified>
</cp:coreProperties>
</file>