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D54" w:rsidRDefault="00FD1094">
      <w:pPr>
        <w:rPr>
          <w:sz w:val="24"/>
          <w:szCs w:val="24"/>
        </w:rPr>
      </w:pPr>
      <w:r>
        <w:rPr>
          <w:sz w:val="24"/>
          <w:szCs w:val="24"/>
        </w:rPr>
        <w:t xml:space="preserve">ACTIVIDADES:        </w:t>
      </w:r>
      <w:r>
        <w:rPr>
          <w:sz w:val="24"/>
          <w:szCs w:val="24"/>
        </w:rPr>
        <w:tab/>
        <w:t xml:space="preserve">FISICO QUIMICA 2 D                            </w:t>
      </w:r>
      <w:r>
        <w:rPr>
          <w:sz w:val="24"/>
          <w:szCs w:val="24"/>
        </w:rPr>
        <w:tab/>
        <w:t>PROF. CORONEL</w:t>
      </w:r>
    </w:p>
    <w:p w:rsidR="00722D54" w:rsidRDefault="00FD1094">
      <w:pPr>
        <w:ind w:left="360"/>
      </w:pPr>
      <w:r>
        <w:t>1.       Investigar cómo se divide la tabla periódica.</w:t>
      </w:r>
    </w:p>
    <w:p w:rsidR="00722D54" w:rsidRDefault="00FD1094">
      <w:pPr>
        <w:ind w:left="360"/>
      </w:pPr>
      <w:r>
        <w:t>2.       dar 10 ejemplos de elementos que usamos cotidianamente y clasificarlos.</w:t>
      </w:r>
    </w:p>
    <w:p w:rsidR="00722D54" w:rsidRDefault="00FD1094">
      <w:pPr>
        <w:ind w:left="360"/>
      </w:pPr>
      <w:r>
        <w:t>Ejemplo. Cloro y lo utilizamos para desinfectar nuestra casa y es no metal. Calcio lo consumimos en lácteos y nos fortalece los huesos y dientes. Es un elemento que pertenece a los metales.</w:t>
      </w:r>
    </w:p>
    <w:p w:rsidR="00722D54" w:rsidRDefault="00FD1094">
      <w:pPr>
        <w:ind w:left="360"/>
      </w:pPr>
      <w:r>
        <w:t>3.       Investigar las características de los metales, no metales</w:t>
      </w:r>
      <w:r>
        <w:t xml:space="preserve"> y gases inertes.</w:t>
      </w:r>
    </w:p>
    <w:p w:rsidR="00722D54" w:rsidRDefault="00FD1094">
      <w:r>
        <w:t>Material de consulta:</w:t>
      </w:r>
    </w:p>
    <w:p w:rsidR="00722D54" w:rsidRDefault="00FD1094">
      <w:pPr>
        <w:rPr>
          <w:color w:val="1155CC"/>
          <w:u w:val="single"/>
        </w:rPr>
      </w:pPr>
      <w:r>
        <w:fldChar w:fldCharType="begin"/>
      </w:r>
      <w:r>
        <w:instrText xml:space="preserve"> HYPERLINK "https://es.khanacademy.org/science/chemistry/periodic-table/copy-of-periodic-table-of-elements/v/periodic-table-introduction" </w:instrText>
      </w:r>
      <w:r>
        <w:fldChar w:fldCharType="separate"/>
      </w:r>
      <w:r>
        <w:rPr>
          <w:color w:val="1155CC"/>
          <w:u w:val="single"/>
        </w:rPr>
        <w:t>https://es.khanacademy.org/science/chemistry/periodic-table/copy-of-periodic-t</w:t>
      </w:r>
      <w:r>
        <w:rPr>
          <w:color w:val="1155CC"/>
          <w:u w:val="single"/>
        </w:rPr>
        <w:t>able-of-elements/v/periodic-table-introduction</w:t>
      </w:r>
    </w:p>
    <w:p w:rsidR="00722D54" w:rsidRDefault="00FD1094">
      <w:r>
        <w:fldChar w:fldCharType="end"/>
      </w:r>
      <w:r>
        <w:t xml:space="preserve"> </w:t>
      </w:r>
    </w:p>
    <w:p w:rsidR="00722D54" w:rsidRDefault="00FD1094">
      <w:r>
        <w:t xml:space="preserve"> </w:t>
      </w:r>
    </w:p>
    <w:p w:rsidR="00722D54" w:rsidRDefault="00FD1094">
      <w:r>
        <w:t xml:space="preserve">La tabla periódica es una representación gráfica de </w:t>
      </w:r>
      <w:r>
        <w:rPr>
          <w:b/>
        </w:rPr>
        <w:t>información sobre los elementos químicos</w:t>
      </w:r>
      <w:r>
        <w:t xml:space="preserve">, como el símbolo o el número atómico, en columnas y filas, es decir, en una </w:t>
      </w:r>
      <w:r>
        <w:rPr>
          <w:b/>
        </w:rPr>
        <w:t>disposición tabular</w:t>
      </w:r>
      <w:r>
        <w:t>. Si se lee de</w:t>
      </w:r>
      <w:r>
        <w:t xml:space="preserve"> izquierda a derecha y de arriba a abajo, el </w:t>
      </w:r>
      <w:r>
        <w:rPr>
          <w:b/>
        </w:rPr>
        <w:t>número atómico es creciente</w:t>
      </w:r>
      <w:r>
        <w:t>. La masa atómica también es creciente en este sentido, salvo algunas excepciones.</w:t>
      </w:r>
    </w:p>
    <w:p w:rsidR="00722D54" w:rsidRDefault="00FD1094">
      <w:r>
        <w:t xml:space="preserve">Las filas de la tabla periódica se conocen como </w:t>
      </w:r>
      <w:r>
        <w:rPr>
          <w:b/>
        </w:rPr>
        <w:t>períodos</w:t>
      </w:r>
      <w:r>
        <w:t>. Se numeran del 1 al 7 en sentido descendent</w:t>
      </w:r>
      <w:r>
        <w:t>e; el período 1 es el período superior y el período 7 es el inferior. A mayor período, es decir, al descender por la tabla periódica, aumenta el número de niveles energéticos del átomo en estado fundamental (</w:t>
      </w:r>
      <w:hyperlink r:id="rId6">
        <w:r>
          <w:rPr>
            <w:color w:val="1155CC"/>
            <w:u w:val="single"/>
          </w:rPr>
          <w:t>no excitado</w:t>
        </w:r>
      </w:hyperlink>
      <w:r>
        <w:t>).</w:t>
      </w:r>
    </w:p>
    <w:p w:rsidR="00722D54" w:rsidRDefault="00FD1094">
      <w:r>
        <w:t xml:space="preserve">Cada columna de la tabla periódica es un </w:t>
      </w:r>
      <w:r>
        <w:rPr>
          <w:b/>
        </w:rPr>
        <w:t>grupo</w:t>
      </w:r>
      <w:r>
        <w:t xml:space="preserve"> y hay un total de 18. Los grupos se unen </w:t>
      </w:r>
      <w:proofErr w:type="gramStart"/>
      <w:r>
        <w:t>para</w:t>
      </w:r>
      <w:proofErr w:type="gramEnd"/>
      <w:r>
        <w:t xml:space="preserve"> formar 4 </w:t>
      </w:r>
      <w:r>
        <w:rPr>
          <w:b/>
        </w:rPr>
        <w:t>bloques</w:t>
      </w:r>
      <w:r>
        <w:t xml:space="preserve"> en función del último orbital ocupado: </w:t>
      </w:r>
      <w:r>
        <w:rPr>
          <w:i/>
        </w:rPr>
        <w:t>s</w:t>
      </w:r>
      <w:r>
        <w:t xml:space="preserve">, </w:t>
      </w:r>
      <w:r>
        <w:rPr>
          <w:i/>
        </w:rPr>
        <w:t>p</w:t>
      </w:r>
      <w:r>
        <w:t xml:space="preserve">, </w:t>
      </w:r>
      <w:r>
        <w:rPr>
          <w:i/>
        </w:rPr>
        <w:t>d</w:t>
      </w:r>
      <w:r>
        <w:t xml:space="preserve"> y </w:t>
      </w:r>
      <w:r>
        <w:rPr>
          <w:i/>
        </w:rPr>
        <w:t>f</w:t>
      </w:r>
      <w:r>
        <w:t>.</w:t>
      </w:r>
    </w:p>
    <w:p w:rsidR="00722D54" w:rsidRDefault="00FD1094">
      <w:pPr>
        <w:rPr>
          <w:b/>
        </w:rPr>
      </w:pPr>
      <w:r>
        <w:rPr>
          <w:b/>
        </w:rPr>
        <w:t>Tipos de elementos</w:t>
      </w:r>
    </w:p>
    <w:p w:rsidR="00722D54" w:rsidRDefault="00FD1094">
      <w:r>
        <w:t>Además de las representaciones y descripcion</w:t>
      </w:r>
      <w:r>
        <w:t xml:space="preserve">es sistemáticas basadas en características atómicas, en la tabla periódica se pueden establecer categorías o tipos atendiendo a </w:t>
      </w:r>
      <w:r>
        <w:rPr>
          <w:b/>
        </w:rPr>
        <w:t>propiedades físicas y químicas</w:t>
      </w:r>
      <w:r>
        <w:t xml:space="preserve"> generales compartidas por un grupo de elementos. Una de las clasificaciones más extendidas tiene </w:t>
      </w:r>
      <w:r>
        <w:rPr>
          <w:b/>
        </w:rPr>
        <w:t>tres grandes categorías</w:t>
      </w:r>
      <w:r>
        <w:t>: metales, metaloides y no metales. Estas categorías se dividen a su vez en grupos más pequeños:</w:t>
      </w:r>
    </w:p>
    <w:p w:rsidR="00722D54" w:rsidRDefault="00FD1094">
      <w:r>
        <w:t>Publicidad</w:t>
      </w:r>
    </w:p>
    <w:p w:rsidR="00722D54" w:rsidRDefault="00FD1094">
      <w:pPr>
        <w:numPr>
          <w:ilvl w:val="0"/>
          <w:numId w:val="1"/>
        </w:numPr>
      </w:pPr>
      <w:r>
        <w:rPr>
          <w:b/>
        </w:rPr>
        <w:t>Metales</w:t>
      </w:r>
      <w:r>
        <w:t>: alcalinos, alcalinotérreos, metales de transición, metales pos transicionales, lantánidos, actínidos.</w:t>
      </w:r>
    </w:p>
    <w:p w:rsidR="00722D54" w:rsidRDefault="00FD1094">
      <w:pPr>
        <w:numPr>
          <w:ilvl w:val="0"/>
          <w:numId w:val="1"/>
        </w:numPr>
      </w:pPr>
      <w:r>
        <w:rPr>
          <w:b/>
        </w:rPr>
        <w:t>Metaloides</w:t>
      </w:r>
    </w:p>
    <w:p w:rsidR="00722D54" w:rsidRDefault="00FD1094">
      <w:pPr>
        <w:numPr>
          <w:ilvl w:val="0"/>
          <w:numId w:val="1"/>
        </w:numPr>
      </w:pPr>
      <w:r>
        <w:rPr>
          <w:b/>
        </w:rPr>
        <w:t xml:space="preserve">No </w:t>
      </w:r>
      <w:r>
        <w:rPr>
          <w:b/>
        </w:rPr>
        <w:t>metales</w:t>
      </w:r>
      <w:r>
        <w:t>: halógenos, gases nobles</w:t>
      </w:r>
    </w:p>
    <w:p w:rsidR="00722D54" w:rsidRDefault="00FD1094">
      <w:r>
        <w:t>Clasificación de los elementos en la tabla periódica</w:t>
      </w:r>
    </w:p>
    <w:p w:rsidR="00722D54" w:rsidRDefault="00FD1094">
      <w:pPr>
        <w:rPr>
          <w:b/>
        </w:rPr>
      </w:pPr>
      <w:r>
        <w:rPr>
          <w:b/>
        </w:rPr>
        <w:t>Metales alcalinos</w:t>
      </w:r>
    </w:p>
    <w:p w:rsidR="00722D54" w:rsidRDefault="00FD1094">
      <w:r>
        <w:t>Los metales alcalinos incluyen a los elementos del grupo 1, desde el Litio (Li) hasta el Francio (Fr). El Hidrógeno está en el grupo 1 pero no es un met</w:t>
      </w:r>
      <w:r>
        <w:t>al alcalino, de hecho el hidrógeno muestra muy pocas características metálicas y es frecuentemente categorizado como un no metal.</w:t>
      </w:r>
    </w:p>
    <w:p w:rsidR="00722D54" w:rsidRDefault="00FD1094">
      <w:pPr>
        <w:rPr>
          <w:b/>
        </w:rPr>
      </w:pPr>
      <w:r>
        <w:rPr>
          <w:b/>
        </w:rPr>
        <w:t>Metales alcalinotérreos</w:t>
      </w:r>
    </w:p>
    <w:p w:rsidR="00722D54" w:rsidRDefault="00FD1094">
      <w:r>
        <w:t>Los metales alcalinotérreos coinciden con el grupo 2, desde el berilio (Be) hasta el radio (Ra). Suele</w:t>
      </w:r>
      <w:r>
        <w:t>n tener un punto de fusión muy alto y sus compuestos óxidos forman soluciones alcalinas muy básicas.</w:t>
      </w:r>
    </w:p>
    <w:p w:rsidR="00722D54" w:rsidRDefault="00FD1094">
      <w:pPr>
        <w:rPr>
          <w:b/>
        </w:rPr>
      </w:pPr>
      <w:r>
        <w:rPr>
          <w:b/>
        </w:rPr>
        <w:t>Lantánidos</w:t>
      </w:r>
    </w:p>
    <w:p w:rsidR="00722D54" w:rsidRDefault="00FD1094">
      <w:r>
        <w:lastRenderedPageBreak/>
        <w:t>Los lantánidos son el grupo formado desde el elemento con número atómico 57, el lantano (La), que le da nombre al grupo, hasta el elemento de número atómico 71, el Lutecio (Lu). La capa de valencia de los lantánidos es 4f; junto a los actínidos (5f) forman</w:t>
      </w:r>
      <w:r>
        <w:t xml:space="preserve"> el bloque f.</w:t>
      </w:r>
    </w:p>
    <w:p w:rsidR="00722D54" w:rsidRDefault="00FD1094">
      <w:pPr>
        <w:rPr>
          <w:b/>
        </w:rPr>
      </w:pPr>
      <w:r>
        <w:rPr>
          <w:b/>
        </w:rPr>
        <w:t>Actínidos</w:t>
      </w:r>
    </w:p>
    <w:p w:rsidR="00722D54" w:rsidRDefault="00FD1094">
      <w:r>
        <w:t>Los actínidos es el grupo que comprende desde el número atómico 89, el Actinio (Ac), hasta el 103, el Lawrencio (Lr). La capa de valencia es 5f y son todos son radioactivos. Son elementos poco abundantes, de hecho solo el torio (Th)</w:t>
      </w:r>
      <w:r>
        <w:t xml:space="preserve"> y el uranio (U) se dan en la naturaleza en cantidades significativas.</w:t>
      </w:r>
    </w:p>
    <w:p w:rsidR="00722D54" w:rsidRDefault="00FD1094">
      <w:pPr>
        <w:rPr>
          <w:b/>
        </w:rPr>
      </w:pPr>
      <w:r>
        <w:rPr>
          <w:b/>
        </w:rPr>
        <w:t>Metales de transición</w:t>
      </w:r>
    </w:p>
    <w:p w:rsidR="00722D54" w:rsidRDefault="00FD1094">
      <w:r>
        <w:t>Los metales o elementos de transición se sitúan en el centro de la tabla periódica, en el bloque d, que abarca desde el grupo 3 al grupo 12. Se caracterizan por tener un orbital d parcialmente ocupado en su configuración electrónica.</w:t>
      </w:r>
    </w:p>
    <w:p w:rsidR="00722D54" w:rsidRDefault="00FD1094">
      <w:r>
        <w:t>Publicidad</w:t>
      </w:r>
    </w:p>
    <w:p w:rsidR="00722D54" w:rsidRDefault="00FD1094">
      <w:pPr>
        <w:rPr>
          <w:b/>
        </w:rPr>
      </w:pPr>
      <w:r>
        <w:rPr>
          <w:b/>
        </w:rPr>
        <w:t>Metales pos</w:t>
      </w:r>
      <w:r>
        <w:rPr>
          <w:b/>
        </w:rPr>
        <w:t xml:space="preserve"> transicionales</w:t>
      </w:r>
    </w:p>
    <w:p w:rsidR="00722D54" w:rsidRDefault="00FD1094">
      <w:r>
        <w:t>Los metales pos transicionales, a veces referidos simplemente como “otros metales”, son el Aluminio (Al), Galio (Ga), Indio (In), Talio (Tl), Estaño (Sn), Plomo (Pb) y Bismuto (Bi). Estos elementos se consideran metales pero suelen tener ca</w:t>
      </w:r>
      <w:r>
        <w:t>racterísticas metálicas más moderadas; por ejemplo, suelen ser más blandos o relativamente peores conductores.</w:t>
      </w:r>
    </w:p>
    <w:p w:rsidR="00722D54" w:rsidRDefault="00FD1094">
      <w:pPr>
        <w:rPr>
          <w:b/>
        </w:rPr>
      </w:pPr>
      <w:r>
        <w:rPr>
          <w:b/>
        </w:rPr>
        <w:t>Metaloides</w:t>
      </w:r>
    </w:p>
    <w:p w:rsidR="00722D54" w:rsidRDefault="00FD1094">
      <w:r>
        <w:t>Los metaloides son sustancias con propiedades intermedias entre los metales y los no metales. Se comportan típicamente como no metales</w:t>
      </w:r>
      <w:r>
        <w:t xml:space="preserve">, pero pueden presentar aspecto metálico o conducir la electricidad en algunas circunstancias. Los </w:t>
      </w:r>
      <w:hyperlink r:id="rId7">
        <w:r>
          <w:rPr>
            <w:color w:val="1155CC"/>
            <w:u w:val="single"/>
          </w:rPr>
          <w:t>elementos metaloides</w:t>
        </w:r>
      </w:hyperlink>
      <w:r>
        <w:t>, también conocidos como semimetales, son el Boro (B), Silicio (Si), Germanio (Ge),</w:t>
      </w:r>
      <w:r>
        <w:t xml:space="preserve"> Arsénico (As), Antimonio (Sb), Telurio (Te) y Polonio (Po); a veces se incluye también al </w:t>
      </w:r>
      <w:proofErr w:type="spellStart"/>
      <w:r>
        <w:t>Astato</w:t>
      </w:r>
      <w:proofErr w:type="spellEnd"/>
      <w:r>
        <w:t xml:space="preserve"> (At).</w:t>
      </w:r>
    </w:p>
    <w:p w:rsidR="00722D54" w:rsidRDefault="00FD1094">
      <w:pPr>
        <w:rPr>
          <w:b/>
        </w:rPr>
      </w:pPr>
      <w:r>
        <w:rPr>
          <w:b/>
        </w:rPr>
        <w:t>No metales</w:t>
      </w:r>
    </w:p>
    <w:p w:rsidR="00722D54" w:rsidRDefault="00FD1094">
      <w:r>
        <w:t>Bajo el término “no metales” se englobarían a todos los demás elementos, desde los halógenos a los gases nobles, pero es muy frecuente que se</w:t>
      </w:r>
      <w:r>
        <w:t xml:space="preserve"> utilice para elementos no metálicos que no se pueden clasificar como halógenos ni como gases nobles, es decir, para Hidrógeno (H), Carbono (C), Nitrógeno (N), Fósforo (P), Oxígeno (O), Azufre (S) y Selenio (Se).</w:t>
      </w:r>
    </w:p>
    <w:p w:rsidR="00722D54" w:rsidRDefault="00FD1094">
      <w:pPr>
        <w:rPr>
          <w:b/>
        </w:rPr>
      </w:pPr>
      <w:r>
        <w:rPr>
          <w:b/>
        </w:rPr>
        <w:t>Halógenos</w:t>
      </w:r>
    </w:p>
    <w:p w:rsidR="00722D54" w:rsidRDefault="00FD1094">
      <w:r>
        <w:t>Los halógenos son un tipo de elem</w:t>
      </w:r>
      <w:r>
        <w:t xml:space="preserve">entos no metálicos que coinciden con el grupo 17 de la tabla periódica, lo que abarca desde el Flúor (F) hasta el </w:t>
      </w:r>
      <w:proofErr w:type="spellStart"/>
      <w:r>
        <w:t>Astato</w:t>
      </w:r>
      <w:proofErr w:type="spellEnd"/>
      <w:r>
        <w:t xml:space="preserve"> (At), este último a veces incluido en los metaloides. Los halógenos suelen ser elementos muy reactivos, por eso es común que se encuent</w:t>
      </w:r>
      <w:r>
        <w:t>ren en la naturaleza formando parte de otras sustancias y rara vez en forma pura.</w:t>
      </w:r>
    </w:p>
    <w:p w:rsidR="00722D54" w:rsidRDefault="00FD1094">
      <w:pPr>
        <w:rPr>
          <w:b/>
        </w:rPr>
      </w:pPr>
      <w:r>
        <w:rPr>
          <w:b/>
        </w:rPr>
        <w:t>Gases nobles</w:t>
      </w:r>
    </w:p>
    <w:p w:rsidR="00722D54" w:rsidRDefault="00FD1094">
      <w:r>
        <w:t xml:space="preserve">Los conocidos como gases nobles coinciden con el grupo 18. Todos estos elementos son gaseosos en condiciones normales de presión y temperatura, no tienen color, </w:t>
      </w:r>
      <w:r>
        <w:t>no tienen olor, y su gran estabilidad les hace merecedores del adjetivo común de ser “inertes químicamente”.</w:t>
      </w:r>
    </w:p>
    <w:p w:rsidR="00722D54" w:rsidRDefault="00722D54"/>
    <w:p w:rsidR="00722D54" w:rsidRDefault="00722D54"/>
    <w:p w:rsidR="00722D54" w:rsidRDefault="00722D54">
      <w:pPr>
        <w:rPr>
          <w:b/>
          <w:sz w:val="28"/>
          <w:szCs w:val="28"/>
          <w:u w:val="single"/>
        </w:rPr>
      </w:pPr>
    </w:p>
    <w:p w:rsidR="00722D54" w:rsidRDefault="00722D54">
      <w:pPr>
        <w:rPr>
          <w:b/>
          <w:sz w:val="28"/>
          <w:szCs w:val="28"/>
          <w:u w:val="single"/>
        </w:rPr>
      </w:pPr>
    </w:p>
    <w:p w:rsidR="00722D54" w:rsidRDefault="00FD1094">
      <w:pPr>
        <w:rPr>
          <w:b/>
          <w:sz w:val="28"/>
          <w:szCs w:val="28"/>
          <w:u w:val="single"/>
        </w:rPr>
      </w:pPr>
      <w:r>
        <w:rPr>
          <w:b/>
          <w:sz w:val="28"/>
          <w:szCs w:val="28"/>
          <w:u w:val="single"/>
        </w:rPr>
        <w:t>MATERIA: GEOGRAFÍA. PROFESORA: NATALIA CASTRO</w:t>
      </w:r>
    </w:p>
    <w:p w:rsidR="00722D54" w:rsidRDefault="00722D54">
      <w:pPr>
        <w:rPr>
          <w:b/>
          <w:sz w:val="28"/>
          <w:szCs w:val="28"/>
          <w:u w:val="single"/>
        </w:rPr>
      </w:pPr>
    </w:p>
    <w:p w:rsidR="00722D54" w:rsidRDefault="00FD1094">
      <w:pPr>
        <w:rPr>
          <w:b/>
          <w:sz w:val="28"/>
          <w:szCs w:val="28"/>
        </w:rPr>
      </w:pPr>
      <w:r>
        <w:rPr>
          <w:b/>
          <w:sz w:val="28"/>
          <w:szCs w:val="28"/>
          <w:u w:val="single"/>
        </w:rPr>
        <w:lastRenderedPageBreak/>
        <w:t>TEMA:</w:t>
      </w:r>
      <w:r>
        <w:rPr>
          <w:b/>
          <w:sz w:val="28"/>
          <w:szCs w:val="28"/>
        </w:rPr>
        <w:t xml:space="preserve"> LOS ESPACIOS RURALES DEL CONTINENTE AMERICANO</w:t>
      </w:r>
    </w:p>
    <w:p w:rsidR="00722D54" w:rsidRDefault="00FD1094">
      <w:pPr>
        <w:ind w:firstLine="700"/>
        <w:rPr>
          <w:b/>
          <w:sz w:val="28"/>
          <w:szCs w:val="28"/>
        </w:rPr>
      </w:pPr>
      <w:r>
        <w:rPr>
          <w:b/>
          <w:sz w:val="28"/>
          <w:szCs w:val="28"/>
        </w:rPr>
        <w:t xml:space="preserve">    </w:t>
      </w:r>
      <w:r>
        <w:rPr>
          <w:b/>
          <w:sz w:val="28"/>
          <w:szCs w:val="28"/>
        </w:rPr>
        <w:tab/>
      </w:r>
    </w:p>
    <w:p w:rsidR="00722D54" w:rsidRDefault="00FD1094">
      <w:pPr>
        <w:ind w:firstLine="700"/>
        <w:rPr>
          <w:sz w:val="28"/>
          <w:szCs w:val="28"/>
        </w:rPr>
      </w:pPr>
      <w:r>
        <w:rPr>
          <w:sz w:val="28"/>
          <w:szCs w:val="28"/>
        </w:rPr>
        <w:t>LOS ESPACIOS RURALES DEL MUNDO SON MUY</w:t>
      </w:r>
      <w:r>
        <w:rPr>
          <w:sz w:val="28"/>
          <w:szCs w:val="28"/>
        </w:rPr>
        <w:t xml:space="preserve"> DIVERSOS, PERO TODOS TIENEN UNA CARACTERÍSTICA EN COMÚN: ALLÍ SE PRODUCEN LOS ALIMENTOS BÁSICOS DE LA HUMANIDAD Y TAMBIÉN MATERIAS PRIMAS QUE SE UTILIZAN EN NUMEROSAS INDUSTRIAS.</w:t>
      </w:r>
    </w:p>
    <w:p w:rsidR="00722D54" w:rsidRDefault="00FD1094">
      <w:pPr>
        <w:rPr>
          <w:sz w:val="28"/>
          <w:szCs w:val="28"/>
        </w:rPr>
      </w:pPr>
      <w:r>
        <w:rPr>
          <w:sz w:val="28"/>
          <w:szCs w:val="28"/>
        </w:rPr>
        <w:t>LAS ACTIVIDADES ECONÓMICAS CARACTERÍSTICAS DE LOS ESPACIOS RURALES SE DENOMI</w:t>
      </w:r>
      <w:r>
        <w:rPr>
          <w:sz w:val="28"/>
          <w:szCs w:val="28"/>
        </w:rPr>
        <w:t xml:space="preserve">NAN </w:t>
      </w:r>
      <w:r>
        <w:rPr>
          <w:sz w:val="28"/>
          <w:szCs w:val="28"/>
          <w:u w:val="single"/>
        </w:rPr>
        <w:t>ACTIVIDADES PRIMARIAS</w:t>
      </w:r>
      <w:r>
        <w:rPr>
          <w:sz w:val="28"/>
          <w:szCs w:val="28"/>
        </w:rPr>
        <w:t xml:space="preserve"> Y ESTÁN ORIENTADAS A LA PRODUCCIÓN DE ALIMENTOS Y MATERIAS PRIMAS.</w:t>
      </w:r>
    </w:p>
    <w:p w:rsidR="00722D54" w:rsidRDefault="00FD1094">
      <w:pPr>
        <w:rPr>
          <w:sz w:val="28"/>
          <w:szCs w:val="28"/>
        </w:rPr>
      </w:pPr>
      <w:r>
        <w:rPr>
          <w:sz w:val="28"/>
          <w:szCs w:val="28"/>
        </w:rPr>
        <w:t>ACTUALMENTE, EN LOS ESPACIOS RURALES SE LOCALIZAN TAMBIÉN ACTIVIDADES INDUSTRIALES Y DIVERSOS SERVICIOS.</w:t>
      </w:r>
    </w:p>
    <w:p w:rsidR="00722D54" w:rsidRDefault="00FD1094">
      <w:pPr>
        <w:rPr>
          <w:sz w:val="28"/>
          <w:szCs w:val="28"/>
        </w:rPr>
      </w:pPr>
      <w:r>
        <w:rPr>
          <w:sz w:val="28"/>
          <w:szCs w:val="28"/>
        </w:rPr>
        <w:t>EL PRINCIPAL RECURSO PUESTO EN VALOR EN LOS ESPACIOS RURAL</w:t>
      </w:r>
      <w:r>
        <w:rPr>
          <w:sz w:val="28"/>
          <w:szCs w:val="28"/>
        </w:rPr>
        <w:t>ES ES EL SUELO.</w:t>
      </w:r>
    </w:p>
    <w:p w:rsidR="00722D54" w:rsidRDefault="00722D54">
      <w:pPr>
        <w:rPr>
          <w:b/>
          <w:sz w:val="28"/>
          <w:szCs w:val="28"/>
          <w:u w:val="single"/>
        </w:rPr>
      </w:pPr>
    </w:p>
    <w:p w:rsidR="00722D54" w:rsidRDefault="00722D54">
      <w:pPr>
        <w:rPr>
          <w:b/>
          <w:sz w:val="28"/>
          <w:szCs w:val="28"/>
          <w:u w:val="single"/>
        </w:rPr>
      </w:pPr>
    </w:p>
    <w:p w:rsidR="00722D54" w:rsidRDefault="00FD1094">
      <w:pPr>
        <w:rPr>
          <w:b/>
          <w:sz w:val="28"/>
          <w:szCs w:val="28"/>
          <w:u w:val="single"/>
        </w:rPr>
      </w:pPr>
      <w:r>
        <w:rPr>
          <w:b/>
          <w:sz w:val="28"/>
          <w:szCs w:val="28"/>
          <w:u w:val="single"/>
        </w:rPr>
        <w:t>ACTIVIDAD:</w:t>
      </w:r>
    </w:p>
    <w:p w:rsidR="00722D54" w:rsidRDefault="00FD1094">
      <w:pPr>
        <w:rPr>
          <w:sz w:val="28"/>
          <w:szCs w:val="28"/>
        </w:rPr>
      </w:pPr>
      <w:r>
        <w:rPr>
          <w:sz w:val="28"/>
          <w:szCs w:val="28"/>
        </w:rPr>
        <w:t>CON TUS CONOCIMIENTOS Y CON LA COLABORACIÓN DE LOS INTEGRANTES DE TU FAMILIA COMPLETAR EL SIGUIENTE CRUCIGRAMA:</w:t>
      </w:r>
    </w:p>
    <w:p w:rsidR="00722D54" w:rsidRDefault="00722D54">
      <w:pPr>
        <w:rPr>
          <w:sz w:val="28"/>
          <w:szCs w:val="28"/>
        </w:rPr>
      </w:pPr>
    </w:p>
    <w:p w:rsidR="00722D54" w:rsidRDefault="00FD1094">
      <w:pPr>
        <w:rPr>
          <w:sz w:val="28"/>
          <w:szCs w:val="28"/>
        </w:rPr>
      </w:pPr>
      <w:r>
        <w:rPr>
          <w:sz w:val="28"/>
          <w:szCs w:val="28"/>
        </w:rPr>
        <w:lastRenderedPageBreak/>
        <w:t xml:space="preserve"> </w:t>
      </w:r>
      <w:bookmarkStart w:id="0" w:name="_GoBack"/>
      <w:r>
        <w:rPr>
          <w:noProof/>
          <w:sz w:val="28"/>
          <w:szCs w:val="28"/>
          <w:lang w:val="es-AR"/>
        </w:rPr>
        <w:drawing>
          <wp:anchor distT="0" distB="0" distL="114300" distR="114300" simplePos="0" relativeHeight="251658240" behindDoc="0" locked="0" layoutInCell="1" allowOverlap="1">
            <wp:simplePos x="0" y="0"/>
            <wp:positionH relativeFrom="column">
              <wp:posOffset>0</wp:posOffset>
            </wp:positionH>
            <wp:positionV relativeFrom="paragraph">
              <wp:posOffset>238125</wp:posOffset>
            </wp:positionV>
            <wp:extent cx="5734050" cy="6743700"/>
            <wp:effectExtent l="0" t="0" r="0"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734050" cy="6743700"/>
                    </a:xfrm>
                    <a:prstGeom prst="rect">
                      <a:avLst/>
                    </a:prstGeom>
                    <a:ln/>
                  </pic:spPr>
                </pic:pic>
              </a:graphicData>
            </a:graphic>
            <wp14:sizeRelH relativeFrom="page">
              <wp14:pctWidth>0</wp14:pctWidth>
            </wp14:sizeRelH>
            <wp14:sizeRelV relativeFrom="page">
              <wp14:pctHeight>0</wp14:pctHeight>
            </wp14:sizeRelV>
          </wp:anchor>
        </w:drawing>
      </w:r>
      <w:bookmarkEnd w:id="0"/>
    </w:p>
    <w:p w:rsidR="00722D54" w:rsidRDefault="00FD1094">
      <w:pPr>
        <w:rPr>
          <w:sz w:val="28"/>
          <w:szCs w:val="28"/>
        </w:rPr>
      </w:pPr>
      <w:r>
        <w:rPr>
          <w:sz w:val="28"/>
          <w:szCs w:val="28"/>
        </w:rPr>
        <w:t xml:space="preserve"> </w:t>
      </w:r>
    </w:p>
    <w:p w:rsidR="00722D54" w:rsidRDefault="00FD1094">
      <w:pPr>
        <w:rPr>
          <w:sz w:val="28"/>
          <w:szCs w:val="28"/>
        </w:rPr>
      </w:pPr>
      <w:r>
        <w:rPr>
          <w:sz w:val="28"/>
          <w:szCs w:val="28"/>
        </w:rPr>
        <w:t xml:space="preserve"> </w:t>
      </w:r>
    </w:p>
    <w:p w:rsidR="00722D54" w:rsidRDefault="00FD1094">
      <w:pPr>
        <w:rPr>
          <w:sz w:val="28"/>
          <w:szCs w:val="28"/>
        </w:rPr>
      </w:pPr>
      <w:r>
        <w:rPr>
          <w:sz w:val="28"/>
          <w:szCs w:val="28"/>
        </w:rPr>
        <w:t xml:space="preserve"> </w:t>
      </w:r>
    </w:p>
    <w:p w:rsidR="00722D54" w:rsidRDefault="00FD1094">
      <w:pPr>
        <w:rPr>
          <w:sz w:val="28"/>
          <w:szCs w:val="28"/>
        </w:rPr>
      </w:pPr>
      <w:r>
        <w:rPr>
          <w:sz w:val="28"/>
          <w:szCs w:val="28"/>
        </w:rPr>
        <w:t xml:space="preserve"> </w:t>
      </w:r>
    </w:p>
    <w:p w:rsidR="00722D54" w:rsidRDefault="00722D54"/>
    <w:p w:rsidR="00722D54" w:rsidRDefault="00722D54"/>
    <w:p w:rsidR="00722D54" w:rsidRDefault="00722D54"/>
    <w:p w:rsidR="00722D54" w:rsidRDefault="00722D54"/>
    <w:p w:rsidR="00722D54" w:rsidRDefault="00722D54"/>
    <w:p w:rsidR="00722D54" w:rsidRDefault="00FD1094">
      <w:pPr>
        <w:rPr>
          <w:b/>
          <w:sz w:val="48"/>
          <w:szCs w:val="48"/>
        </w:rPr>
      </w:pPr>
      <w:r>
        <w:rPr>
          <w:b/>
          <w:sz w:val="48"/>
          <w:szCs w:val="48"/>
        </w:rPr>
        <w:lastRenderedPageBreak/>
        <w:t>Historia</w:t>
      </w:r>
    </w:p>
    <w:p w:rsidR="00722D54" w:rsidRDefault="00FD1094">
      <w:r>
        <w:t>Profesor: Darío Sebastián Trejo</w:t>
      </w:r>
    </w:p>
    <w:p w:rsidR="00722D54" w:rsidRDefault="00FD1094">
      <w:r>
        <w:t>Curso: 2 “D”</w:t>
      </w:r>
    </w:p>
    <w:p w:rsidR="00722D54" w:rsidRDefault="00FD1094">
      <w:r>
        <w:t>Semana: 14 se septiembre</w:t>
      </w:r>
    </w:p>
    <w:p w:rsidR="00722D54" w:rsidRDefault="00FD1094">
      <w:r>
        <w:t>Mail: dariosebastiantrejo@hotmail.com</w:t>
      </w:r>
    </w:p>
    <w:p w:rsidR="00722D54" w:rsidRDefault="00722D54"/>
    <w:p w:rsidR="00722D54" w:rsidRDefault="00FD1094">
      <w:r>
        <w:t>Busque información y responda:</w:t>
      </w:r>
    </w:p>
    <w:p w:rsidR="00722D54" w:rsidRDefault="00722D54"/>
    <w:p w:rsidR="00722D54" w:rsidRDefault="00FD1094">
      <w:r>
        <w:t>¿Cuáles son las otras potencias económicas europeas que generan colonias en América?</w:t>
      </w:r>
    </w:p>
    <w:p w:rsidR="00722D54" w:rsidRDefault="00FD1094">
      <w:r>
        <w:t>Enumeré los casos de Inglaterra, Holanda y Francia.</w:t>
      </w:r>
    </w:p>
    <w:p w:rsidR="00722D54" w:rsidRDefault="00722D54"/>
    <w:p w:rsidR="00722D54" w:rsidRDefault="00FD1094">
      <w:r>
        <w:t>¿Cuáles son los factores por los cuales la riqu</w:t>
      </w:r>
      <w:r>
        <w:t xml:space="preserve">eza de los países mediterráneos europeos se traslada al norte de ese continente? </w:t>
      </w:r>
    </w:p>
    <w:p w:rsidR="00722D54" w:rsidRDefault="00722D54"/>
    <w:p w:rsidR="00722D54" w:rsidRDefault="00FD1094">
      <w:r>
        <w:t>¿</w:t>
      </w:r>
      <w:proofErr w:type="spellStart"/>
      <w:r>
        <w:t>Porqué</w:t>
      </w:r>
      <w:proofErr w:type="spellEnd"/>
      <w:r>
        <w:t xml:space="preserve"> se produjo ese cambio socioeconómico</w:t>
      </w:r>
      <w:proofErr w:type="gramStart"/>
      <w:r>
        <w:t>?¿</w:t>
      </w:r>
      <w:proofErr w:type="gramEnd"/>
      <w:r>
        <w:t xml:space="preserve">Cómo queda España durante el siglo XVII Y XVIII? Argumente y </w:t>
      </w:r>
      <w:proofErr w:type="spellStart"/>
      <w:r>
        <w:t>relacionelo</w:t>
      </w:r>
      <w:proofErr w:type="spellEnd"/>
      <w:r>
        <w:t xml:space="preserve"> con las respuestas anteriores</w:t>
      </w:r>
    </w:p>
    <w:p w:rsidR="00722D54" w:rsidRDefault="00722D54"/>
    <w:p w:rsidR="00722D54" w:rsidRDefault="00FD1094">
      <w:r>
        <w:t>Pueden consultar el sig</w:t>
      </w:r>
      <w:r>
        <w:t>uiente enlace:</w:t>
      </w:r>
    </w:p>
    <w:p w:rsidR="00722D54" w:rsidRDefault="00722D54"/>
    <w:p w:rsidR="00722D54" w:rsidRDefault="00FD1094">
      <w:r>
        <w:t>https://youtu.be/vPAHcQgGZLc</w:t>
      </w:r>
    </w:p>
    <w:p w:rsidR="00722D54" w:rsidRDefault="00722D54"/>
    <w:p w:rsidR="00722D54" w:rsidRDefault="00FD1094">
      <w:r>
        <w:pict>
          <v:rect id="_x0000_i1025" style="width:0;height:1.5pt" o:hralign="center" o:hrstd="t" o:hr="t" fillcolor="#a0a0a0" stroked="f"/>
        </w:pict>
      </w:r>
    </w:p>
    <w:p w:rsidR="00722D54" w:rsidRDefault="00722D54"/>
    <w:p w:rsidR="00722D54" w:rsidRDefault="00FD1094">
      <w:pPr>
        <w:rPr>
          <w:b/>
          <w:sz w:val="36"/>
          <w:szCs w:val="36"/>
        </w:rPr>
      </w:pPr>
      <w:r>
        <w:rPr>
          <w:b/>
          <w:sz w:val="36"/>
          <w:szCs w:val="36"/>
        </w:rPr>
        <w:t>Matemática</w:t>
      </w:r>
    </w:p>
    <w:p w:rsidR="00722D54" w:rsidRDefault="00FD1094">
      <w:pPr>
        <w:rPr>
          <w:b/>
        </w:rPr>
      </w:pPr>
      <w:r>
        <w:rPr>
          <w:b/>
        </w:rPr>
        <w:t xml:space="preserve">Prof. </w:t>
      </w:r>
      <w:proofErr w:type="spellStart"/>
      <w:r>
        <w:rPr>
          <w:b/>
        </w:rPr>
        <w:t>Vescovo</w:t>
      </w:r>
      <w:proofErr w:type="spellEnd"/>
      <w:r>
        <w:rPr>
          <w:b/>
        </w:rPr>
        <w:t xml:space="preserve"> Jésica</w:t>
      </w:r>
    </w:p>
    <w:p w:rsidR="00722D54" w:rsidRDefault="00FD1094">
      <w:pPr>
        <w:rPr>
          <w:b/>
        </w:rPr>
      </w:pPr>
      <w:r>
        <w:rPr>
          <w:b/>
        </w:rPr>
        <w:t xml:space="preserve">Modo de contacto: aula virtual </w:t>
      </w:r>
      <w:proofErr w:type="spellStart"/>
      <w:r>
        <w:rPr>
          <w:b/>
        </w:rPr>
        <w:t>classroom</w:t>
      </w:r>
      <w:proofErr w:type="spellEnd"/>
      <w:r>
        <w:rPr>
          <w:b/>
        </w:rPr>
        <w:t xml:space="preserve">, </w:t>
      </w:r>
      <w:proofErr w:type="spellStart"/>
      <w:r>
        <w:rPr>
          <w:b/>
        </w:rPr>
        <w:t>mensseger</w:t>
      </w:r>
      <w:proofErr w:type="spellEnd"/>
      <w:r>
        <w:rPr>
          <w:b/>
        </w:rPr>
        <w:t xml:space="preserve">: Jésica Belén </w:t>
      </w:r>
      <w:proofErr w:type="spellStart"/>
      <w:r>
        <w:rPr>
          <w:b/>
        </w:rPr>
        <w:t>vescovo</w:t>
      </w:r>
      <w:proofErr w:type="spellEnd"/>
      <w:r>
        <w:rPr>
          <w:b/>
        </w:rPr>
        <w:t xml:space="preserve"> o </w:t>
      </w:r>
    </w:p>
    <w:p w:rsidR="00722D54" w:rsidRDefault="00FD1094">
      <w:pPr>
        <w:rPr>
          <w:b/>
        </w:rPr>
      </w:pPr>
      <w:proofErr w:type="gramStart"/>
      <w:r>
        <w:rPr>
          <w:b/>
        </w:rPr>
        <w:t>mail</w:t>
      </w:r>
      <w:proofErr w:type="gramEnd"/>
      <w:r>
        <w:rPr>
          <w:b/>
        </w:rPr>
        <w:t xml:space="preserve">: </w:t>
      </w:r>
      <w:hyperlink r:id="rId9">
        <w:r>
          <w:rPr>
            <w:b/>
            <w:color w:val="1155CC"/>
            <w:u w:val="single"/>
          </w:rPr>
          <w:t>vescovojb@hotmail.com</w:t>
        </w:r>
      </w:hyperlink>
    </w:p>
    <w:p w:rsidR="00722D54" w:rsidRDefault="00722D54">
      <w:pPr>
        <w:rPr>
          <w:b/>
        </w:rPr>
      </w:pPr>
    </w:p>
    <w:p w:rsidR="00722D54" w:rsidRDefault="00FD1094">
      <w:pPr>
        <w:rPr>
          <w:b/>
        </w:rPr>
      </w:pPr>
      <w:r>
        <w:rPr>
          <w:b/>
        </w:rPr>
        <w:t>Continuidad Pedagógica</w:t>
      </w:r>
    </w:p>
    <w:p w:rsidR="00722D54" w:rsidRDefault="00722D54">
      <w:pPr>
        <w:rPr>
          <w:b/>
        </w:rPr>
      </w:pPr>
    </w:p>
    <w:p w:rsidR="00722D54" w:rsidRDefault="00FD1094">
      <w:pPr>
        <w:rPr>
          <w:b/>
        </w:rPr>
      </w:pPr>
      <w:r>
        <w:rPr>
          <w:b/>
        </w:rPr>
        <w:t>Tema: Lenguaje Coloquial y Simbólico</w:t>
      </w:r>
    </w:p>
    <w:p w:rsidR="00722D54" w:rsidRDefault="00FD1094">
      <w:pPr>
        <w:rPr>
          <w:b/>
        </w:rPr>
      </w:pPr>
      <w:r>
        <w:rPr>
          <w:b/>
        </w:rPr>
        <w:t>12/9/18</w:t>
      </w:r>
    </w:p>
    <w:p w:rsidR="00722D54" w:rsidRDefault="00722D54">
      <w:pPr>
        <w:rPr>
          <w:b/>
        </w:rPr>
      </w:pPr>
    </w:p>
    <w:p w:rsidR="00722D54" w:rsidRDefault="00FD1094">
      <w:pPr>
        <w:rPr>
          <w:b/>
        </w:rPr>
      </w:pPr>
      <w:r>
        <w:rPr>
          <w:b/>
        </w:rPr>
        <w:t xml:space="preserve">Teoría: </w:t>
      </w:r>
    </w:p>
    <w:p w:rsidR="00722D54" w:rsidRDefault="00722D54">
      <w:pPr>
        <w:rPr>
          <w:b/>
        </w:rPr>
      </w:pPr>
    </w:p>
    <w:p w:rsidR="00722D54" w:rsidRDefault="00FD1094">
      <w:r>
        <w:t>Lenguaje coloquial es el que se expresa mediante palabras, y el simbólico mediante símbolos.</w:t>
      </w:r>
    </w:p>
    <w:p w:rsidR="00722D54" w:rsidRDefault="00722D54"/>
    <w:p w:rsidR="00722D54" w:rsidRDefault="00FD1094">
      <w:pPr>
        <w:rPr>
          <w:b/>
        </w:rPr>
      </w:pPr>
      <w:r>
        <w:rPr>
          <w:b/>
        </w:rPr>
        <w:t xml:space="preserve">Por ejemplo: </w:t>
      </w:r>
    </w:p>
    <w:p w:rsidR="00722D54" w:rsidRDefault="00722D54"/>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pPr>
            <w:r>
              <w:t>Lenguaje Coloquial</w:t>
            </w:r>
          </w:p>
        </w:tc>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pPr>
            <w:r>
              <w:t>Lenguaje Simbólico</w:t>
            </w: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pPr>
            <w:r>
              <w:t>cinco</w:t>
            </w:r>
          </w:p>
        </w:tc>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pPr>
            <w:r>
              <w:t>5</w:t>
            </w: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pPr>
            <w:r>
              <w:t>suma</w:t>
            </w:r>
          </w:p>
        </w:tc>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pPr>
            <w:r>
              <w:t>+</w:t>
            </w:r>
          </w:p>
        </w:tc>
      </w:tr>
    </w:tbl>
    <w:p w:rsidR="00722D54" w:rsidRDefault="00FD1094">
      <w:pPr>
        <w:rPr>
          <w:b/>
        </w:rPr>
      </w:pPr>
      <w:r>
        <w:rPr>
          <w:b/>
        </w:rPr>
        <w:t xml:space="preserve">Actividades: </w:t>
      </w:r>
    </w:p>
    <w:p w:rsidR="00722D54" w:rsidRDefault="00722D54">
      <w:pPr>
        <w:rPr>
          <w:b/>
        </w:rPr>
      </w:pPr>
    </w:p>
    <w:p w:rsidR="00722D54" w:rsidRDefault="00FD1094">
      <w:pPr>
        <w:numPr>
          <w:ilvl w:val="0"/>
          <w:numId w:val="2"/>
        </w:numPr>
      </w:pPr>
      <w:r>
        <w:t>Pasar a lenguaje coloquial o simbólico según corresponda y resolver.</w:t>
      </w:r>
    </w:p>
    <w:p w:rsidR="00722D54" w:rsidRDefault="00722D54">
      <w:pPr>
        <w:rPr>
          <w:b/>
        </w:rPr>
      </w:pP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49"/>
        <w:gridCol w:w="1204"/>
        <w:gridCol w:w="1472"/>
      </w:tblGrid>
      <w:tr w:rsidR="00722D54">
        <w:trPr>
          <w:trHeight w:val="520"/>
        </w:trPr>
        <w:tc>
          <w:tcPr>
            <w:tcW w:w="6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2D54" w:rsidRDefault="00FD1094">
            <w:pPr>
              <w:jc w:val="center"/>
              <w:rPr>
                <w:b/>
              </w:rPr>
            </w:pPr>
            <w:r>
              <w:rPr>
                <w:b/>
              </w:rPr>
              <w:t>Lenguaje Coloquial</w:t>
            </w:r>
          </w:p>
        </w:tc>
        <w:tc>
          <w:tcPr>
            <w:tcW w:w="120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22D54" w:rsidRDefault="00FD1094">
            <w:pPr>
              <w:jc w:val="center"/>
              <w:rPr>
                <w:b/>
              </w:rPr>
            </w:pPr>
            <w:r>
              <w:rPr>
                <w:b/>
              </w:rPr>
              <w:t>Cálculo</w:t>
            </w:r>
          </w:p>
        </w:tc>
        <w:tc>
          <w:tcPr>
            <w:tcW w:w="1472"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22D54" w:rsidRDefault="00FD1094">
            <w:pPr>
              <w:jc w:val="center"/>
              <w:rPr>
                <w:b/>
              </w:rPr>
            </w:pPr>
            <w:r>
              <w:rPr>
                <w:b/>
              </w:rPr>
              <w:t>Resultado</w:t>
            </w:r>
          </w:p>
        </w:tc>
      </w:tr>
      <w:tr w:rsidR="00722D54">
        <w:trPr>
          <w:trHeight w:val="560"/>
        </w:trPr>
        <w:tc>
          <w:tcPr>
            <w:tcW w:w="634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2D54" w:rsidRDefault="00FD1094">
            <w:r>
              <w:t>El cuadrado de la suma entre cinco y tres.</w:t>
            </w:r>
          </w:p>
        </w:tc>
        <w:tc>
          <w:tcPr>
            <w:tcW w:w="1204" w:type="dxa"/>
            <w:tcBorders>
              <w:bottom w:val="single" w:sz="8" w:space="0" w:color="000000"/>
              <w:right w:val="single" w:sz="8" w:space="0" w:color="000000"/>
            </w:tcBorders>
            <w:tcMar>
              <w:top w:w="100" w:type="dxa"/>
              <w:left w:w="100" w:type="dxa"/>
              <w:bottom w:w="100" w:type="dxa"/>
              <w:right w:w="100" w:type="dxa"/>
            </w:tcMar>
          </w:tcPr>
          <w:p w:rsidR="00722D54" w:rsidRDefault="00FD1094">
            <w:pPr>
              <w:jc w:val="center"/>
              <w:rPr>
                <w:color w:val="FF0000"/>
                <w:vertAlign w:val="superscript"/>
              </w:rPr>
            </w:pPr>
            <w:r>
              <w:rPr>
                <w:color w:val="FF0000"/>
              </w:rPr>
              <w:t>(5+3)</w:t>
            </w:r>
            <w:r>
              <w:rPr>
                <w:color w:val="FF0000"/>
                <w:vertAlign w:val="superscript"/>
              </w:rPr>
              <w:t>2</w:t>
            </w:r>
          </w:p>
        </w:tc>
        <w:tc>
          <w:tcPr>
            <w:tcW w:w="1472" w:type="dxa"/>
            <w:tcBorders>
              <w:bottom w:val="single" w:sz="8" w:space="0" w:color="000000"/>
              <w:right w:val="single" w:sz="8" w:space="0" w:color="000000"/>
            </w:tcBorders>
            <w:tcMar>
              <w:top w:w="100" w:type="dxa"/>
              <w:left w:w="100" w:type="dxa"/>
              <w:bottom w:w="100" w:type="dxa"/>
              <w:right w:w="100" w:type="dxa"/>
            </w:tcMar>
          </w:tcPr>
          <w:p w:rsidR="00722D54" w:rsidRDefault="00FD1094">
            <w:pPr>
              <w:jc w:val="center"/>
              <w:rPr>
                <w:color w:val="FF0000"/>
              </w:rPr>
            </w:pPr>
            <w:r>
              <w:rPr>
                <w:color w:val="FF0000"/>
              </w:rPr>
              <w:t>8</w:t>
            </w:r>
            <w:r>
              <w:rPr>
                <w:color w:val="FF0000"/>
                <w:vertAlign w:val="superscript"/>
              </w:rPr>
              <w:t>2</w:t>
            </w:r>
            <w:r>
              <w:rPr>
                <w:color w:val="FF0000"/>
              </w:rPr>
              <w:t xml:space="preserve"> = 64</w:t>
            </w:r>
          </w:p>
        </w:tc>
      </w:tr>
      <w:tr w:rsidR="00722D54">
        <w:trPr>
          <w:trHeight w:val="560"/>
        </w:trPr>
        <w:tc>
          <w:tcPr>
            <w:tcW w:w="634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2D54" w:rsidRDefault="00FD1094">
            <w:r>
              <w:t>La suma del cuadrado de cinco y el cuadrado de tres.</w:t>
            </w:r>
          </w:p>
        </w:tc>
        <w:tc>
          <w:tcPr>
            <w:tcW w:w="1204" w:type="dxa"/>
            <w:tcBorders>
              <w:bottom w:val="single" w:sz="8" w:space="0" w:color="000000"/>
              <w:right w:val="single" w:sz="8" w:space="0" w:color="000000"/>
            </w:tcBorders>
            <w:tcMar>
              <w:top w:w="100" w:type="dxa"/>
              <w:left w:w="100" w:type="dxa"/>
              <w:bottom w:w="100" w:type="dxa"/>
              <w:right w:w="100" w:type="dxa"/>
            </w:tcMar>
          </w:tcPr>
          <w:p w:rsidR="00722D54" w:rsidRDefault="00722D54">
            <w:pPr>
              <w:jc w:val="center"/>
            </w:pPr>
          </w:p>
        </w:tc>
        <w:tc>
          <w:tcPr>
            <w:tcW w:w="1472" w:type="dxa"/>
            <w:tcBorders>
              <w:bottom w:val="single" w:sz="8" w:space="0" w:color="000000"/>
              <w:right w:val="single" w:sz="8" w:space="0" w:color="000000"/>
            </w:tcBorders>
            <w:tcMar>
              <w:top w:w="100" w:type="dxa"/>
              <w:left w:w="100" w:type="dxa"/>
              <w:bottom w:w="100" w:type="dxa"/>
              <w:right w:w="100" w:type="dxa"/>
            </w:tcMar>
          </w:tcPr>
          <w:p w:rsidR="00722D54" w:rsidRDefault="00722D54">
            <w:pPr>
              <w:widowControl w:val="0"/>
              <w:pBdr>
                <w:top w:val="nil"/>
                <w:left w:val="nil"/>
                <w:bottom w:val="nil"/>
                <w:right w:val="nil"/>
                <w:between w:val="nil"/>
              </w:pBdr>
              <w:jc w:val="center"/>
            </w:pPr>
          </w:p>
        </w:tc>
      </w:tr>
      <w:tr w:rsidR="00722D54">
        <w:trPr>
          <w:trHeight w:val="560"/>
        </w:trPr>
        <w:tc>
          <w:tcPr>
            <w:tcW w:w="634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2D54" w:rsidRDefault="00722D54">
            <w:pPr>
              <w:widowControl w:val="0"/>
              <w:pBdr>
                <w:top w:val="nil"/>
                <w:left w:val="nil"/>
                <w:bottom w:val="nil"/>
                <w:right w:val="nil"/>
                <w:between w:val="nil"/>
              </w:pBdr>
            </w:pPr>
          </w:p>
        </w:tc>
        <w:tc>
          <w:tcPr>
            <w:tcW w:w="1204" w:type="dxa"/>
            <w:tcBorders>
              <w:bottom w:val="single" w:sz="8" w:space="0" w:color="000000"/>
              <w:right w:val="single" w:sz="8" w:space="0" w:color="000000"/>
            </w:tcBorders>
            <w:tcMar>
              <w:top w:w="100" w:type="dxa"/>
              <w:left w:w="100" w:type="dxa"/>
              <w:bottom w:w="100" w:type="dxa"/>
              <w:right w:w="100" w:type="dxa"/>
            </w:tcMar>
          </w:tcPr>
          <w:p w:rsidR="00722D54" w:rsidRDefault="00FD1094">
            <w:pPr>
              <w:jc w:val="center"/>
              <w:rPr>
                <w:vertAlign w:val="superscript"/>
              </w:rPr>
            </w:pPr>
            <w:proofErr w:type="gramStart"/>
            <w:r>
              <w:t>4</w:t>
            </w:r>
            <w:r>
              <w:rPr>
                <w:vertAlign w:val="superscript"/>
              </w:rPr>
              <w:t>2</w:t>
            </w:r>
            <w:r>
              <w:t xml:space="preserve"> .</w:t>
            </w:r>
            <w:proofErr w:type="gramEnd"/>
            <w:r>
              <w:t xml:space="preserve"> 3</w:t>
            </w:r>
            <w:r>
              <w:rPr>
                <w:vertAlign w:val="superscript"/>
              </w:rPr>
              <w:t>2</w:t>
            </w:r>
          </w:p>
        </w:tc>
        <w:tc>
          <w:tcPr>
            <w:tcW w:w="1472" w:type="dxa"/>
            <w:tcBorders>
              <w:bottom w:val="single" w:sz="8" w:space="0" w:color="000000"/>
              <w:right w:val="single" w:sz="8" w:space="0" w:color="000000"/>
            </w:tcBorders>
            <w:tcMar>
              <w:top w:w="100" w:type="dxa"/>
              <w:left w:w="100" w:type="dxa"/>
              <w:bottom w:w="100" w:type="dxa"/>
              <w:right w:w="100" w:type="dxa"/>
            </w:tcMar>
          </w:tcPr>
          <w:p w:rsidR="00722D54" w:rsidRDefault="00722D54">
            <w:pPr>
              <w:jc w:val="center"/>
            </w:pPr>
          </w:p>
        </w:tc>
      </w:tr>
      <w:tr w:rsidR="00722D54">
        <w:trPr>
          <w:trHeight w:val="520"/>
        </w:trPr>
        <w:tc>
          <w:tcPr>
            <w:tcW w:w="634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2D54" w:rsidRDefault="00FD1094">
            <w:r>
              <w:t>La diferencia entre el cubo de diez y el cubo de seis.</w:t>
            </w:r>
          </w:p>
        </w:tc>
        <w:tc>
          <w:tcPr>
            <w:tcW w:w="1204" w:type="dxa"/>
            <w:tcBorders>
              <w:bottom w:val="single" w:sz="8" w:space="0" w:color="000000"/>
              <w:right w:val="single" w:sz="8" w:space="0" w:color="000000"/>
            </w:tcBorders>
            <w:tcMar>
              <w:top w:w="100" w:type="dxa"/>
              <w:left w:w="100" w:type="dxa"/>
              <w:bottom w:w="100" w:type="dxa"/>
              <w:right w:w="100" w:type="dxa"/>
            </w:tcMar>
          </w:tcPr>
          <w:p w:rsidR="00722D54" w:rsidRDefault="00722D54">
            <w:pPr>
              <w:jc w:val="center"/>
            </w:pPr>
          </w:p>
        </w:tc>
        <w:tc>
          <w:tcPr>
            <w:tcW w:w="1472" w:type="dxa"/>
            <w:tcBorders>
              <w:bottom w:val="single" w:sz="8" w:space="0" w:color="000000"/>
              <w:right w:val="single" w:sz="8" w:space="0" w:color="000000"/>
            </w:tcBorders>
            <w:tcMar>
              <w:top w:w="100" w:type="dxa"/>
              <w:left w:w="100" w:type="dxa"/>
              <w:bottom w:w="100" w:type="dxa"/>
              <w:right w:w="100" w:type="dxa"/>
            </w:tcMar>
          </w:tcPr>
          <w:p w:rsidR="00722D54" w:rsidRDefault="00722D54">
            <w:pPr>
              <w:widowControl w:val="0"/>
              <w:pBdr>
                <w:top w:val="nil"/>
                <w:left w:val="nil"/>
                <w:bottom w:val="nil"/>
                <w:right w:val="nil"/>
                <w:between w:val="nil"/>
              </w:pBdr>
              <w:jc w:val="center"/>
            </w:pPr>
          </w:p>
        </w:tc>
      </w:tr>
      <w:tr w:rsidR="00722D54">
        <w:trPr>
          <w:trHeight w:val="500"/>
        </w:trPr>
        <w:tc>
          <w:tcPr>
            <w:tcW w:w="634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2D54" w:rsidRDefault="00FD1094">
            <w:r>
              <w:t>El cuadrado del producto entre cuatro y tres.</w:t>
            </w:r>
          </w:p>
        </w:tc>
        <w:tc>
          <w:tcPr>
            <w:tcW w:w="1204" w:type="dxa"/>
            <w:tcBorders>
              <w:bottom w:val="single" w:sz="8" w:space="0" w:color="000000"/>
              <w:right w:val="single" w:sz="8" w:space="0" w:color="000000"/>
            </w:tcBorders>
            <w:tcMar>
              <w:top w:w="100" w:type="dxa"/>
              <w:left w:w="100" w:type="dxa"/>
              <w:bottom w:w="100" w:type="dxa"/>
              <w:right w:w="100" w:type="dxa"/>
            </w:tcMar>
          </w:tcPr>
          <w:p w:rsidR="00722D54" w:rsidRDefault="00722D54">
            <w:pPr>
              <w:jc w:val="center"/>
            </w:pPr>
          </w:p>
        </w:tc>
        <w:tc>
          <w:tcPr>
            <w:tcW w:w="1472" w:type="dxa"/>
            <w:tcBorders>
              <w:bottom w:val="single" w:sz="8" w:space="0" w:color="000000"/>
              <w:right w:val="single" w:sz="8" w:space="0" w:color="000000"/>
            </w:tcBorders>
            <w:tcMar>
              <w:top w:w="100" w:type="dxa"/>
              <w:left w:w="100" w:type="dxa"/>
              <w:bottom w:w="100" w:type="dxa"/>
              <w:right w:w="100" w:type="dxa"/>
            </w:tcMar>
          </w:tcPr>
          <w:p w:rsidR="00722D54" w:rsidRDefault="00722D54">
            <w:pPr>
              <w:widowControl w:val="0"/>
              <w:pBdr>
                <w:top w:val="nil"/>
                <w:left w:val="nil"/>
                <w:bottom w:val="nil"/>
                <w:right w:val="nil"/>
                <w:between w:val="nil"/>
              </w:pBdr>
              <w:jc w:val="center"/>
            </w:pPr>
          </w:p>
        </w:tc>
      </w:tr>
      <w:tr w:rsidR="00722D54">
        <w:trPr>
          <w:trHeight w:val="540"/>
        </w:trPr>
        <w:tc>
          <w:tcPr>
            <w:tcW w:w="634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2D54" w:rsidRDefault="00722D54">
            <w:pPr>
              <w:widowControl w:val="0"/>
              <w:pBdr>
                <w:top w:val="nil"/>
                <w:left w:val="nil"/>
                <w:bottom w:val="nil"/>
                <w:right w:val="nil"/>
                <w:between w:val="nil"/>
              </w:pBdr>
            </w:pPr>
          </w:p>
        </w:tc>
        <w:tc>
          <w:tcPr>
            <w:tcW w:w="1204" w:type="dxa"/>
            <w:tcBorders>
              <w:bottom w:val="single" w:sz="8" w:space="0" w:color="000000"/>
              <w:right w:val="single" w:sz="8" w:space="0" w:color="000000"/>
            </w:tcBorders>
            <w:tcMar>
              <w:top w:w="100" w:type="dxa"/>
              <w:left w:w="100" w:type="dxa"/>
              <w:bottom w:w="100" w:type="dxa"/>
              <w:right w:w="100" w:type="dxa"/>
            </w:tcMar>
          </w:tcPr>
          <w:p w:rsidR="00722D54" w:rsidRDefault="00FD1094">
            <w:pPr>
              <w:jc w:val="center"/>
              <w:rPr>
                <w:vertAlign w:val="superscript"/>
              </w:rPr>
            </w:pPr>
            <w:r>
              <w:t xml:space="preserve"> (10 – 6)</w:t>
            </w:r>
            <w:r>
              <w:rPr>
                <w:vertAlign w:val="superscript"/>
              </w:rPr>
              <w:t>3</w:t>
            </w:r>
          </w:p>
        </w:tc>
        <w:tc>
          <w:tcPr>
            <w:tcW w:w="1472" w:type="dxa"/>
            <w:tcBorders>
              <w:bottom w:val="single" w:sz="8" w:space="0" w:color="000000"/>
              <w:right w:val="single" w:sz="8" w:space="0" w:color="000000"/>
            </w:tcBorders>
            <w:tcMar>
              <w:top w:w="100" w:type="dxa"/>
              <w:left w:w="100" w:type="dxa"/>
              <w:bottom w:w="100" w:type="dxa"/>
              <w:right w:w="100" w:type="dxa"/>
            </w:tcMar>
          </w:tcPr>
          <w:p w:rsidR="00722D54" w:rsidRDefault="00722D54">
            <w:pPr>
              <w:jc w:val="center"/>
            </w:pPr>
          </w:p>
        </w:tc>
      </w:tr>
    </w:tbl>
    <w:p w:rsidR="00722D54" w:rsidRDefault="00722D54">
      <w:pPr>
        <w:rPr>
          <w:b/>
        </w:rPr>
      </w:pPr>
    </w:p>
    <w:p w:rsidR="00722D54" w:rsidRDefault="00FD1094">
      <w:pPr>
        <w:ind w:firstLine="425"/>
      </w:pPr>
      <w:r>
        <w:rPr>
          <w:b/>
        </w:rPr>
        <w:t xml:space="preserve">2) </w:t>
      </w:r>
      <w:r>
        <w:t>Completar la siguiente tabla.</w:t>
      </w:r>
    </w:p>
    <w:p w:rsidR="00722D54" w:rsidRDefault="00722D54">
      <w:pPr>
        <w:ind w:firstLine="425"/>
      </w:pPr>
    </w:p>
    <w:p w:rsidR="00722D54" w:rsidRDefault="00722D54">
      <w:pPr>
        <w:ind w:firstLine="425"/>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pPr>
            <w:r>
              <w:t>Lenguaje Coloquial</w:t>
            </w:r>
          </w:p>
        </w:tc>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pPr>
            <w:r>
              <w:t>Lenguaje Simbólico</w:t>
            </w: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Un número desconocido</w:t>
            </w:r>
          </w:p>
        </w:tc>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jc w:val="center"/>
              <w:rPr>
                <w:color w:val="FF0000"/>
              </w:rPr>
            </w:pPr>
            <w:r>
              <w:rPr>
                <w:color w:val="FF0000"/>
              </w:rPr>
              <w:t>“x”</w:t>
            </w: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Resta</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El doble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El triple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El anterior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El consecutivo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El cuadrado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El cubo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La raíz cuadrada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La raíz cúbica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r w:rsidR="00722D54">
        <w:tc>
          <w:tcPr>
            <w:tcW w:w="4514" w:type="dxa"/>
            <w:shd w:val="clear" w:color="auto" w:fill="auto"/>
            <w:tcMar>
              <w:top w:w="100" w:type="dxa"/>
              <w:left w:w="100" w:type="dxa"/>
              <w:bottom w:w="100" w:type="dxa"/>
              <w:right w:w="100" w:type="dxa"/>
            </w:tcMar>
          </w:tcPr>
          <w:p w:rsidR="00722D54" w:rsidRDefault="00FD1094">
            <w:pPr>
              <w:widowControl w:val="0"/>
              <w:pBdr>
                <w:top w:val="nil"/>
                <w:left w:val="nil"/>
                <w:bottom w:val="nil"/>
                <w:right w:val="nil"/>
                <w:between w:val="nil"/>
              </w:pBdr>
              <w:spacing w:line="240" w:lineRule="auto"/>
            </w:pPr>
            <w:r>
              <w:t>La mitad de un número</w:t>
            </w:r>
          </w:p>
        </w:tc>
        <w:tc>
          <w:tcPr>
            <w:tcW w:w="4514" w:type="dxa"/>
            <w:shd w:val="clear" w:color="auto" w:fill="auto"/>
            <w:tcMar>
              <w:top w:w="100" w:type="dxa"/>
              <w:left w:w="100" w:type="dxa"/>
              <w:bottom w:w="100" w:type="dxa"/>
              <w:right w:w="100" w:type="dxa"/>
            </w:tcMar>
          </w:tcPr>
          <w:p w:rsidR="00722D54" w:rsidRDefault="00722D54">
            <w:pPr>
              <w:widowControl w:val="0"/>
              <w:pBdr>
                <w:top w:val="nil"/>
                <w:left w:val="nil"/>
                <w:bottom w:val="nil"/>
                <w:right w:val="nil"/>
                <w:between w:val="nil"/>
              </w:pBdr>
              <w:spacing w:line="240" w:lineRule="auto"/>
            </w:pPr>
          </w:p>
        </w:tc>
      </w:tr>
    </w:tbl>
    <w:p w:rsidR="00722D54" w:rsidRDefault="00722D54">
      <w:pPr>
        <w:ind w:firstLine="425"/>
      </w:pPr>
    </w:p>
    <w:p w:rsidR="00722D54" w:rsidRDefault="00FD1094">
      <w:pPr>
        <w:rPr>
          <w:b/>
        </w:rPr>
      </w:pPr>
      <w:r>
        <w:rPr>
          <w:b/>
          <w:u w:val="single"/>
        </w:rPr>
        <w:t>Observación:</w:t>
      </w:r>
      <w:r>
        <w:t xml:space="preserve"> </w:t>
      </w:r>
      <w:r>
        <w:rPr>
          <w:b/>
        </w:rPr>
        <w:t xml:space="preserve">Para poder completar el cuadro deben ayudarse de un diccionario para buscar las palabras desconocidas, o que no sepan expresar. </w:t>
      </w:r>
    </w:p>
    <w:p w:rsidR="00722D54" w:rsidRDefault="00FD1094">
      <w:pPr>
        <w:rPr>
          <w:b/>
        </w:rPr>
      </w:pPr>
      <w:r>
        <w:rPr>
          <w:b/>
        </w:rPr>
        <w:lastRenderedPageBreak/>
        <w:t>Recordar que cuando hablamos de un número (pero no decimos cual es) hay que utilizar letras para simbolizarlo, y que no es nece</w:t>
      </w:r>
      <w:r>
        <w:rPr>
          <w:b/>
        </w:rPr>
        <w:t>sario que siempre sea “x”.</w:t>
      </w:r>
    </w:p>
    <w:p w:rsidR="00722D54" w:rsidRDefault="00FD1094">
      <w:pPr>
        <w:ind w:left="720"/>
      </w:pPr>
      <w:r>
        <w:rPr>
          <w:b/>
        </w:rPr>
        <w:t xml:space="preserve">3) </w:t>
      </w:r>
      <w:r>
        <w:t>Escribir el lenguaje simbólico las siguientes expresiones coloquiales y encuentren el valor numérico</w:t>
      </w:r>
    </w:p>
    <w:p w:rsidR="00722D54" w:rsidRDefault="00722D54"/>
    <w:p w:rsidR="00722D54" w:rsidRDefault="00FD1094">
      <w:r>
        <w:rPr>
          <w:b/>
          <w:u w:val="single"/>
        </w:rPr>
        <w:t>Ejemplo:</w:t>
      </w:r>
      <w:r>
        <w:t xml:space="preserve"> El doble del cubo de cuatro, aumentado en el triple de la raíz cúbica de ciento veinticinco negativo.</w:t>
      </w:r>
    </w:p>
    <w:p w:rsidR="00722D54" w:rsidRDefault="00722D54">
      <w:pPr>
        <w:jc w:val="center"/>
      </w:pPr>
    </w:p>
    <w:p w:rsidR="00722D54" w:rsidRDefault="00FD1094">
      <w:pPr>
        <w:jc w:val="center"/>
        <w:rPr>
          <w:rFonts w:ascii="SimHei" w:eastAsia="SimHei" w:hAnsi="SimHei" w:cs="SimHei"/>
          <w:b/>
          <w:sz w:val="28"/>
          <w:szCs w:val="28"/>
        </w:rPr>
      </w:pPr>
      <w:r>
        <w:rPr>
          <w:b/>
          <w:sz w:val="28"/>
          <w:szCs w:val="28"/>
        </w:rPr>
        <w:t>2. 4</w:t>
      </w:r>
      <w:r>
        <w:rPr>
          <w:b/>
          <w:sz w:val="28"/>
          <w:szCs w:val="28"/>
          <w:vertAlign w:val="superscript"/>
        </w:rPr>
        <w:t>3</w:t>
      </w:r>
      <w:r>
        <w:rPr>
          <w:b/>
          <w:sz w:val="28"/>
          <w:szCs w:val="28"/>
        </w:rPr>
        <w:t xml:space="preserve"> + 3. ³</w:t>
      </w:r>
      <w:r>
        <w:rPr>
          <w:rFonts w:ascii="SimHei" w:eastAsia="SimHei" w:hAnsi="SimHei" w:cs="SimHei"/>
          <w:b/>
          <w:sz w:val="28"/>
          <w:szCs w:val="28"/>
        </w:rPr>
        <w:t>√-125</w:t>
      </w:r>
    </w:p>
    <w:p w:rsidR="00722D54" w:rsidRDefault="00FD1094">
      <w:pPr>
        <w:rPr>
          <w:rFonts w:ascii="SimHei" w:eastAsia="SimHei" w:hAnsi="SimHei" w:cs="SimHei"/>
          <w:b/>
          <w:sz w:val="28"/>
          <w:szCs w:val="28"/>
        </w:rPr>
      </w:pPr>
      <w:r>
        <w:rPr>
          <w:rFonts w:ascii="SimHei" w:eastAsia="SimHei" w:hAnsi="SimHei" w:cs="SimHei"/>
          <w:b/>
          <w:sz w:val="28"/>
          <w:szCs w:val="28"/>
        </w:rPr>
        <w:t xml:space="preserve">                         2.64 + 3. (-5)</w:t>
      </w:r>
    </w:p>
    <w:p w:rsidR="00722D54" w:rsidRDefault="00FD1094">
      <w:r>
        <w:rPr>
          <w:rFonts w:ascii="SimHei" w:eastAsia="SimHei" w:hAnsi="SimHei" w:cs="SimHei"/>
          <w:b/>
          <w:sz w:val="28"/>
          <w:szCs w:val="28"/>
        </w:rPr>
        <w:t xml:space="preserve">                          128 + (-15)= 113</w:t>
      </w:r>
    </w:p>
    <w:p w:rsidR="00722D54" w:rsidRDefault="00722D54">
      <w:pPr>
        <w:ind w:left="720"/>
      </w:pPr>
    </w:p>
    <w:p w:rsidR="00722D54" w:rsidRDefault="00FD1094">
      <w:pPr>
        <w:numPr>
          <w:ilvl w:val="0"/>
          <w:numId w:val="3"/>
        </w:numPr>
      </w:pPr>
      <w:r>
        <w:t>La tercera parte de la raíz cuarta de  ochenta y uno, disminuida en la mitad de la raíz cuadrada de ciento cuarenta y cuatro.</w:t>
      </w:r>
    </w:p>
    <w:p w:rsidR="00722D54" w:rsidRDefault="00FD1094">
      <w:pPr>
        <w:numPr>
          <w:ilvl w:val="0"/>
          <w:numId w:val="3"/>
        </w:numPr>
      </w:pPr>
      <w:r>
        <w:t>El quíntuplo de la diferencia entre el c</w:t>
      </w:r>
      <w:r>
        <w:t xml:space="preserve">uadrado de la raíz cúbica de doscientos dieciséis </w:t>
      </w:r>
      <w:proofErr w:type="gramStart"/>
      <w:r>
        <w:t>negativo</w:t>
      </w:r>
      <w:proofErr w:type="gramEnd"/>
      <w:r>
        <w:t xml:space="preserve"> y la raíz cuadrada del cubo de cuatro.</w:t>
      </w:r>
    </w:p>
    <w:p w:rsidR="00722D54" w:rsidRDefault="00FD1094">
      <w:pPr>
        <w:numPr>
          <w:ilvl w:val="0"/>
          <w:numId w:val="3"/>
        </w:numPr>
      </w:pPr>
      <w:r>
        <w:t>El cuadrado de la suma de la raíz cuadrada de veinticinco y la raíz cúbica de ocho negativo.</w:t>
      </w:r>
    </w:p>
    <w:p w:rsidR="00722D54" w:rsidRDefault="00FD1094">
      <w:pPr>
        <w:ind w:left="720"/>
        <w:rPr>
          <w:rFonts w:ascii="SimHei" w:eastAsia="SimHei" w:hAnsi="SimHei" w:cs="SimHei"/>
        </w:rPr>
      </w:pPr>
      <w:r>
        <w:rPr>
          <w:rFonts w:ascii="SimHei" w:eastAsia="SimHei" w:hAnsi="SimHei" w:cs="SimHei"/>
        </w:rPr>
        <w:t xml:space="preserve"> </w:t>
      </w:r>
    </w:p>
    <w:p w:rsidR="00722D54" w:rsidRDefault="00FD1094">
      <w:pPr>
        <w:jc w:val="center"/>
      </w:pPr>
      <w:r>
        <w:t xml:space="preserve"> </w:t>
      </w:r>
    </w:p>
    <w:sectPr w:rsidR="00722D54">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40525"/>
    <w:multiLevelType w:val="multilevel"/>
    <w:tmpl w:val="0840C29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5ED6541"/>
    <w:multiLevelType w:val="multilevel"/>
    <w:tmpl w:val="80305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5C9B6ECC"/>
    <w:multiLevelType w:val="multilevel"/>
    <w:tmpl w:val="C1CAF338"/>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722D54"/>
    <w:rsid w:val="00722D54"/>
    <w:rsid w:val="00FD109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FD109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1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FD109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1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curiosoando.com/metaloid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s.wikipedia.org/wiki/Estado_excitado"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escovojb@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1421</Words>
  <Characters>7819</Characters>
  <Application>Microsoft Office Word</Application>
  <DocSecurity>0</DocSecurity>
  <Lines>65</Lines>
  <Paragraphs>18</Paragraphs>
  <ScaleCrop>false</ScaleCrop>
  <Company/>
  <LinksUpToDate>false</LinksUpToDate>
  <CharactersWithSpaces>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2018-12-18T19:48:00Z</dcterms:created>
  <dcterms:modified xsi:type="dcterms:W3CDTF">2018-12-18T19:48:00Z</dcterms:modified>
</cp:coreProperties>
</file>