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CB" w:rsidRPr="005161DE" w:rsidRDefault="007C04CB" w:rsidP="007C04CB">
      <w:pPr>
        <w:pStyle w:val="Heading2"/>
        <w:spacing w:line="250" w:lineRule="atLeast"/>
        <w:jc w:val="both"/>
        <w:rPr>
          <w:rFonts w:ascii="Verdana" w:hAnsi="Verdana"/>
          <w:sz w:val="30"/>
        </w:rPr>
      </w:pPr>
      <w:r>
        <w:rPr>
          <w:rFonts w:ascii="Verdana" w:hAnsi="Verdana" w:hint="eastAsia"/>
          <w:sz w:val="30"/>
        </w:rPr>
        <w:t>Native C-Reaction Protein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1"/>
        <w:gridCol w:w="3235"/>
        <w:gridCol w:w="1532"/>
        <w:gridCol w:w="2248"/>
      </w:tblGrid>
      <w:tr w:rsidR="007C04CB" w:rsidTr="00E426BA">
        <w:trPr>
          <w:tblCellSpacing w:w="15" w:type="dxa"/>
          <w:jc w:val="center"/>
        </w:trPr>
        <w:tc>
          <w:tcPr>
            <w:tcW w:w="1756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Type: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Native</w:t>
            </w:r>
          </w:p>
        </w:tc>
        <w:tc>
          <w:tcPr>
            <w:tcW w:w="1502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Cat. No.:</w:t>
            </w:r>
          </w:p>
        </w:tc>
        <w:tc>
          <w:tcPr>
            <w:tcW w:w="2203" w:type="dxa"/>
            <w:vAlign w:val="center"/>
          </w:tcPr>
          <w:p w:rsidR="007C04CB" w:rsidRDefault="007C04CB" w:rsidP="007C04CB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>
              <w:rPr>
                <w:rFonts w:ascii="Verdana" w:hAnsi="Verdana" w:hint="eastAsia"/>
                <w:sz w:val="22"/>
                <w:szCs w:val="22"/>
              </w:rPr>
              <w:t>1</w:t>
            </w:r>
            <w:r>
              <w:rPr>
                <w:rFonts w:ascii="Verdana" w:hAnsi="Verdana" w:hint="eastAsia"/>
                <w:sz w:val="22"/>
                <w:szCs w:val="22"/>
              </w:rPr>
              <w:t>120</w:t>
            </w:r>
            <w:r>
              <w:rPr>
                <w:rFonts w:ascii="Verdana" w:hAnsi="Verdana" w:hint="eastAsia"/>
                <w:sz w:val="22"/>
                <w:szCs w:val="22"/>
              </w:rPr>
              <w:t>-S10</w:t>
            </w:r>
          </w:p>
        </w:tc>
      </w:tr>
      <w:tr w:rsidR="007C04CB" w:rsidTr="00E426BA">
        <w:trPr>
          <w:tblCellSpacing w:w="15" w:type="dxa"/>
          <w:jc w:val="center"/>
        </w:trPr>
        <w:tc>
          <w:tcPr>
            <w:tcW w:w="1756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Tag: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N/A</w:t>
            </w:r>
          </w:p>
        </w:tc>
        <w:tc>
          <w:tcPr>
            <w:tcW w:w="1502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Size:</w:t>
            </w:r>
          </w:p>
        </w:tc>
        <w:tc>
          <w:tcPr>
            <w:tcW w:w="2203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 xml:space="preserve">1 </w:t>
            </w:r>
            <w:r>
              <w:rPr>
                <w:rFonts w:ascii="Verdana" w:hAnsi="Verdana"/>
                <w:sz w:val="22"/>
                <w:szCs w:val="22"/>
              </w:rPr>
              <w:t>mg</w:t>
            </w:r>
          </w:p>
        </w:tc>
      </w:tr>
      <w:tr w:rsidR="007C04CB" w:rsidTr="00E426BA">
        <w:trPr>
          <w:tblCellSpacing w:w="15" w:type="dxa"/>
          <w:jc w:val="center"/>
        </w:trPr>
        <w:tc>
          <w:tcPr>
            <w:tcW w:w="1756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Source: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7C04CB" w:rsidRDefault="00462116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Human Fluids</w:t>
            </w:r>
          </w:p>
        </w:tc>
        <w:tc>
          <w:tcPr>
            <w:tcW w:w="1502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Purity</w:t>
            </w:r>
            <w:r>
              <w:rPr>
                <w:rFonts w:ascii="Verdana" w:hAnsi="Verdana" w:hint="eastAsi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203" w:type="dxa"/>
            <w:vAlign w:val="center"/>
          </w:tcPr>
          <w:p w:rsidR="007C04CB" w:rsidRDefault="007C04CB" w:rsidP="0046211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&gt;9</w:t>
            </w:r>
            <w:r w:rsidR="00462116">
              <w:rPr>
                <w:rFonts w:ascii="Verdana" w:hAnsi="Verdana" w:hint="eastAsia"/>
                <w:sz w:val="22"/>
                <w:szCs w:val="22"/>
              </w:rPr>
              <w:t>8</w:t>
            </w:r>
            <w:r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C04CB" w:rsidTr="00E426BA">
        <w:trPr>
          <w:tblCellSpacing w:w="15" w:type="dxa"/>
          <w:jc w:val="center"/>
        </w:trPr>
        <w:tc>
          <w:tcPr>
            <w:tcW w:w="1756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Other names: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CRP</w:t>
            </w:r>
          </w:p>
        </w:tc>
        <w:tc>
          <w:tcPr>
            <w:tcW w:w="1502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Species:</w:t>
            </w:r>
          </w:p>
        </w:tc>
        <w:tc>
          <w:tcPr>
            <w:tcW w:w="2203" w:type="dxa"/>
            <w:vAlign w:val="center"/>
          </w:tcPr>
          <w:p w:rsidR="007C04CB" w:rsidRDefault="007C04CB" w:rsidP="00E426B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Human</w:t>
            </w:r>
          </w:p>
        </w:tc>
      </w:tr>
    </w:tbl>
    <w:p w:rsidR="007C04CB" w:rsidRDefault="007C04CB" w:rsidP="007C04CB">
      <w:pPr>
        <w:pStyle w:val="Heading3"/>
        <w:spacing w:before="0" w:beforeAutospacing="0" w:after="0" w:afterAutospacing="0" w:line="240" w:lineRule="exact"/>
        <w:rPr>
          <w:rFonts w:ascii="Verdana" w:hAnsi="Verdana"/>
          <w:color w:val="0000FF"/>
        </w:rPr>
      </w:pPr>
    </w:p>
    <w:p w:rsidR="007C04CB" w:rsidRPr="000A6FEA" w:rsidRDefault="007C04CB" w:rsidP="007C04CB">
      <w:pPr>
        <w:pStyle w:val="Heading3"/>
        <w:spacing w:before="0" w:beforeAutospacing="0" w:after="0" w:afterAutospacing="0"/>
        <w:jc w:val="both"/>
        <w:rPr>
          <w:rFonts w:ascii="Verdana" w:hAnsi="Verdana"/>
          <w:color w:val="31849B" w:themeColor="accent5" w:themeShade="BF"/>
        </w:rPr>
      </w:pPr>
      <w:r w:rsidRPr="000A6FEA">
        <w:rPr>
          <w:rFonts w:ascii="Verdana" w:hAnsi="Verdana"/>
          <w:color w:val="31849B" w:themeColor="accent5" w:themeShade="BF"/>
        </w:rPr>
        <w:t>Description</w:t>
      </w:r>
    </w:p>
    <w:p w:rsidR="002D5CE1" w:rsidRPr="002D5CE1" w:rsidRDefault="002D5CE1" w:rsidP="002D5CE1">
      <w:pPr>
        <w:pStyle w:val="Heading3"/>
        <w:spacing w:before="0" w:beforeAutospacing="0" w:after="0" w:afterAutospacing="0" w:line="250" w:lineRule="atLeast"/>
        <w:rPr>
          <w:rFonts w:ascii="Verdana" w:hAnsi="Verdana" w:hint="eastAsia"/>
          <w:b w:val="0"/>
          <w:bCs w:val="0"/>
          <w:sz w:val="20"/>
          <w:szCs w:val="20"/>
        </w:rPr>
      </w:pPr>
      <w:r w:rsidRPr="002D5CE1">
        <w:rPr>
          <w:rFonts w:ascii="Verdana" w:hAnsi="Verdana" w:hint="eastAsia"/>
          <w:b w:val="0"/>
          <w:bCs w:val="0"/>
          <w:sz w:val="20"/>
          <w:szCs w:val="20"/>
        </w:rPr>
        <w:t>Native protein purified from human fluids</w:t>
      </w:r>
    </w:p>
    <w:p w:rsidR="002D5CE1" w:rsidRDefault="002D5CE1" w:rsidP="002D5CE1">
      <w:pPr>
        <w:pStyle w:val="Heading3"/>
        <w:spacing w:before="0" w:beforeAutospacing="0" w:after="0" w:afterAutospacing="0" w:line="250" w:lineRule="atLeast"/>
        <w:rPr>
          <w:rFonts w:ascii="Verdana" w:hAnsi="Verdana"/>
          <w:bCs w:val="0"/>
          <w:sz w:val="20"/>
          <w:szCs w:val="20"/>
        </w:rPr>
      </w:pPr>
      <w:proofErr w:type="gramStart"/>
      <w:r>
        <w:rPr>
          <w:rFonts w:ascii="Verdana" w:hAnsi="Verdana" w:hint="eastAsia"/>
          <w:bCs w:val="0"/>
          <w:sz w:val="20"/>
          <w:szCs w:val="20"/>
        </w:rPr>
        <w:t>Immunogen grade antigen</w:t>
      </w:r>
      <w:r w:rsidRPr="003542F1">
        <w:rPr>
          <w:rFonts w:ascii="Verdana" w:hAnsi="Verdana" w:hint="eastAsia"/>
          <w:bCs w:val="0"/>
          <w:sz w:val="20"/>
          <w:szCs w:val="20"/>
        </w:rPr>
        <w:t xml:space="preserve"> for research use or manufacturing only.</w:t>
      </w:r>
      <w:proofErr w:type="gramEnd"/>
    </w:p>
    <w:p w:rsidR="007C04CB" w:rsidRDefault="007C04CB" w:rsidP="007C04CB">
      <w:pPr>
        <w:pStyle w:val="Heading3"/>
        <w:spacing w:before="0" w:beforeAutospacing="0" w:after="0" w:afterAutospacing="0" w:line="240" w:lineRule="exact"/>
        <w:rPr>
          <w:rFonts w:ascii="Verdana" w:hAnsi="Verdana"/>
          <w:color w:val="0000FF"/>
        </w:rPr>
      </w:pPr>
    </w:p>
    <w:p w:rsidR="007C04CB" w:rsidRDefault="007C04CB" w:rsidP="007C04CB">
      <w:pPr>
        <w:pStyle w:val="Heading3"/>
        <w:spacing w:before="0" w:beforeAutospacing="0" w:after="0" w:afterAutospacing="0" w:line="240" w:lineRule="exact"/>
        <w:rPr>
          <w:rFonts w:ascii="Verdana" w:hAnsi="Verdana"/>
          <w:color w:val="0000FF"/>
        </w:rPr>
      </w:pPr>
    </w:p>
    <w:p w:rsidR="007C04CB" w:rsidRPr="005161DE" w:rsidRDefault="007C04CB" w:rsidP="007C04CB">
      <w:pPr>
        <w:pStyle w:val="Heading3"/>
        <w:spacing w:before="0" w:beforeAutospacing="0" w:after="0" w:afterAutospacing="0" w:line="240" w:lineRule="exact"/>
        <w:rPr>
          <w:rFonts w:ascii="Verdana" w:hAnsi="Verdana"/>
          <w:color w:val="31849B" w:themeColor="accent5" w:themeShade="BF"/>
        </w:rPr>
      </w:pPr>
      <w:r w:rsidRPr="005161DE">
        <w:rPr>
          <w:rFonts w:ascii="Verdana" w:hAnsi="Verdana"/>
          <w:color w:val="31849B" w:themeColor="accent5" w:themeShade="BF"/>
        </w:rPr>
        <w:t xml:space="preserve">Introduction to the Molecule </w:t>
      </w:r>
    </w:p>
    <w:p w:rsidR="00EC31D1" w:rsidRPr="00462116" w:rsidRDefault="00EC31D1" w:rsidP="00EC31D1">
      <w:pPr>
        <w:spacing w:line="260" w:lineRule="atLeast"/>
        <w:ind w:right="533"/>
        <w:jc w:val="both"/>
        <w:rPr>
          <w:color w:val="000000"/>
          <w:sz w:val="22"/>
          <w:szCs w:val="20"/>
        </w:rPr>
      </w:pPr>
      <w:r w:rsidRPr="00462116">
        <w:rPr>
          <w:color w:val="000000"/>
          <w:sz w:val="22"/>
          <w:szCs w:val="20"/>
        </w:rPr>
        <w:t xml:space="preserve">C-reactive protein (CRP) is a circulating protein mainly secreted from the liver. This acute phase protein consists of five identical non-glycosylated subunits of 23 </w:t>
      </w:r>
      <w:proofErr w:type="spellStart"/>
      <w:r w:rsidRPr="00462116">
        <w:rPr>
          <w:color w:val="000000"/>
          <w:sz w:val="22"/>
          <w:szCs w:val="20"/>
        </w:rPr>
        <w:t>kDa</w:t>
      </w:r>
      <w:proofErr w:type="spellEnd"/>
      <w:r w:rsidRPr="00462116">
        <w:rPr>
          <w:color w:val="000000"/>
          <w:sz w:val="22"/>
          <w:szCs w:val="20"/>
        </w:rPr>
        <w:t>, that give rise to a symmetrically arranged globular protein with molecular weight of approximately 120 kDa.</w:t>
      </w:r>
      <w:r w:rsidRPr="00462116">
        <w:rPr>
          <w:color w:val="000000"/>
          <w:sz w:val="22"/>
          <w:szCs w:val="20"/>
          <w:vertAlign w:val="superscript"/>
        </w:rPr>
        <w:t>1</w:t>
      </w:r>
      <w:r w:rsidRPr="00462116">
        <w:rPr>
          <w:color w:val="000000"/>
          <w:sz w:val="22"/>
          <w:szCs w:val="20"/>
        </w:rPr>
        <w:t xml:space="preserve"> It has long been recognized that CRP is closely related to immunology, inflammation and host </w:t>
      </w:r>
      <w:proofErr w:type="spellStart"/>
      <w:r w:rsidRPr="00462116">
        <w:rPr>
          <w:color w:val="000000"/>
          <w:sz w:val="22"/>
          <w:szCs w:val="20"/>
        </w:rPr>
        <w:t>defence</w:t>
      </w:r>
      <w:proofErr w:type="spellEnd"/>
      <w:r w:rsidRPr="00462116">
        <w:rPr>
          <w:color w:val="000000"/>
          <w:sz w:val="22"/>
          <w:szCs w:val="20"/>
        </w:rPr>
        <w:t>, as a result it has been used as an inflammatory marker. There is accumulating evidence suggesting the important role that CRP plays in mediating cardiovascular diseases (CVD) and type 2 diabetes.</w:t>
      </w:r>
      <w:r w:rsidRPr="00462116">
        <w:rPr>
          <w:color w:val="000000"/>
          <w:sz w:val="22"/>
          <w:szCs w:val="20"/>
          <w:vertAlign w:val="superscript"/>
        </w:rPr>
        <w:t>2-4</w:t>
      </w:r>
      <w:r w:rsidRPr="00462116">
        <w:rPr>
          <w:color w:val="000000"/>
          <w:sz w:val="22"/>
          <w:szCs w:val="20"/>
        </w:rPr>
        <w:t xml:space="preserve"> Normally CRP is presenting only in a trace amount in circulation (&lt;1 </w:t>
      </w:r>
      <w:r w:rsidRPr="00462116">
        <w:rPr>
          <w:color w:val="000000"/>
          <w:sz w:val="22"/>
          <w:szCs w:val="20"/>
        </w:rPr>
        <w:sym w:font="Symbol" w:char="F06D"/>
      </w:r>
      <w:r w:rsidRPr="00462116">
        <w:rPr>
          <w:color w:val="000000"/>
          <w:sz w:val="22"/>
          <w:szCs w:val="20"/>
        </w:rPr>
        <w:t>g/ml)</w:t>
      </w:r>
      <w:r w:rsidRPr="00462116">
        <w:rPr>
          <w:color w:val="000000"/>
          <w:sz w:val="22"/>
          <w:szCs w:val="20"/>
          <w:vertAlign w:val="superscript"/>
        </w:rPr>
        <w:t>5-6</w:t>
      </w:r>
      <w:r w:rsidRPr="00462116">
        <w:rPr>
          <w:color w:val="000000"/>
          <w:sz w:val="22"/>
          <w:szCs w:val="20"/>
        </w:rPr>
        <w:t xml:space="preserve"> but can increase over 1,000-fold under acute inflammatory state. Individual with blood CRP levels &lt;1 </w:t>
      </w:r>
      <w:r w:rsidRPr="00462116">
        <w:rPr>
          <w:color w:val="000000"/>
          <w:sz w:val="22"/>
          <w:szCs w:val="20"/>
        </w:rPr>
        <w:sym w:font="Symbol" w:char="F06D"/>
      </w:r>
      <w:r w:rsidRPr="00462116">
        <w:rPr>
          <w:color w:val="000000"/>
          <w:sz w:val="22"/>
          <w:szCs w:val="20"/>
        </w:rPr>
        <w:t xml:space="preserve">g/ml, 1-3 </w:t>
      </w:r>
      <w:r w:rsidRPr="00462116">
        <w:rPr>
          <w:color w:val="000000"/>
          <w:sz w:val="22"/>
          <w:szCs w:val="20"/>
        </w:rPr>
        <w:sym w:font="Symbol" w:char="F06D"/>
      </w:r>
      <w:r w:rsidRPr="00462116">
        <w:rPr>
          <w:color w:val="000000"/>
          <w:sz w:val="22"/>
          <w:szCs w:val="20"/>
        </w:rPr>
        <w:t xml:space="preserve">g/ml and &gt;3 </w:t>
      </w:r>
      <w:r w:rsidRPr="00462116">
        <w:rPr>
          <w:color w:val="000000"/>
          <w:sz w:val="22"/>
          <w:szCs w:val="20"/>
        </w:rPr>
        <w:sym w:font="Symbol" w:char="F06D"/>
      </w:r>
      <w:r w:rsidRPr="00462116">
        <w:rPr>
          <w:color w:val="000000"/>
          <w:sz w:val="22"/>
          <w:szCs w:val="20"/>
        </w:rPr>
        <w:t>g/ml is considered to have low, moderate and high risk, respectively, of CVD and myocardial infraction.</w:t>
      </w:r>
      <w:r w:rsidRPr="00462116">
        <w:rPr>
          <w:color w:val="000000"/>
          <w:sz w:val="22"/>
          <w:szCs w:val="20"/>
          <w:vertAlign w:val="superscript"/>
        </w:rPr>
        <w:t>7</w:t>
      </w:r>
      <w:r w:rsidRPr="00462116">
        <w:rPr>
          <w:color w:val="000000"/>
          <w:sz w:val="22"/>
          <w:szCs w:val="20"/>
        </w:rPr>
        <w:t xml:space="preserve"> Therefore, blood CRP level has become a promising measure of CVD risk.</w:t>
      </w:r>
      <w:r w:rsidRPr="00462116">
        <w:rPr>
          <w:color w:val="000000"/>
          <w:sz w:val="22"/>
          <w:szCs w:val="20"/>
          <w:vertAlign w:val="superscript"/>
        </w:rPr>
        <w:t>8-9</w:t>
      </w:r>
    </w:p>
    <w:p w:rsidR="007C04CB" w:rsidRDefault="007C04CB" w:rsidP="007C04CB">
      <w:pPr>
        <w:pStyle w:val="Heading3"/>
        <w:spacing w:before="0" w:beforeAutospacing="0" w:after="0" w:afterAutospacing="0" w:line="240" w:lineRule="exact"/>
        <w:jc w:val="both"/>
        <w:rPr>
          <w:rFonts w:ascii="Verdana" w:hAnsi="Verdana"/>
          <w:b w:val="0"/>
          <w:bCs w:val="0"/>
          <w:sz w:val="20"/>
          <w:szCs w:val="20"/>
        </w:rPr>
      </w:pPr>
    </w:p>
    <w:p w:rsidR="007C04CB" w:rsidRPr="005161DE" w:rsidRDefault="007C04CB" w:rsidP="007C04CB">
      <w:pPr>
        <w:pStyle w:val="HTMLPreformatted"/>
        <w:rPr>
          <w:rFonts w:ascii="Verdana" w:hAnsi="Verdana" w:cs="Times New Roman"/>
          <w:color w:val="auto"/>
          <w:sz w:val="20"/>
          <w:szCs w:val="20"/>
        </w:rPr>
      </w:pPr>
    </w:p>
    <w:p w:rsidR="007C04CB" w:rsidRPr="005161DE" w:rsidRDefault="007C04CB" w:rsidP="007C04CB">
      <w:pPr>
        <w:spacing w:line="250" w:lineRule="atLeast"/>
        <w:jc w:val="both"/>
        <w:outlineLvl w:val="2"/>
        <w:rPr>
          <w:rFonts w:ascii="Verdana" w:hAnsi="Verdana"/>
          <w:b/>
          <w:bCs/>
          <w:color w:val="31849B" w:themeColor="accent5" w:themeShade="BF"/>
          <w:sz w:val="27"/>
          <w:szCs w:val="27"/>
        </w:rPr>
      </w:pPr>
      <w:r w:rsidRPr="005161DE">
        <w:rPr>
          <w:rFonts w:ascii="Verdana" w:hAnsi="Verdana"/>
          <w:b/>
          <w:bCs/>
          <w:color w:val="31849B" w:themeColor="accent5" w:themeShade="BF"/>
          <w:sz w:val="27"/>
          <w:szCs w:val="27"/>
        </w:rPr>
        <w:t>Formulation</w:t>
      </w:r>
    </w:p>
    <w:p w:rsidR="00462116" w:rsidRDefault="007C04CB" w:rsidP="007C04CB">
      <w:pPr>
        <w:spacing w:line="250" w:lineRule="atLeast"/>
        <w:jc w:val="both"/>
        <w:outlineLvl w:val="2"/>
        <w:rPr>
          <w:rFonts w:ascii="Verdana" w:hAnsi="Verdana" w:hint="eastAsia"/>
          <w:sz w:val="20"/>
          <w:szCs w:val="20"/>
        </w:rPr>
      </w:pPr>
      <w:r w:rsidRPr="00462116">
        <w:rPr>
          <w:rFonts w:ascii="Verdana" w:hAnsi="Verdana"/>
          <w:sz w:val="22"/>
          <w:szCs w:val="20"/>
        </w:rPr>
        <w:t xml:space="preserve">Solution in </w:t>
      </w:r>
      <w:r w:rsidR="00462116" w:rsidRPr="00462116">
        <w:rPr>
          <w:rFonts w:ascii="Verdana" w:hAnsi="Verdana" w:hint="eastAsia"/>
          <w:sz w:val="22"/>
          <w:szCs w:val="20"/>
        </w:rPr>
        <w:t xml:space="preserve">0.1M </w:t>
      </w:r>
      <w:proofErr w:type="spellStart"/>
      <w:r w:rsidR="00462116" w:rsidRPr="00462116">
        <w:rPr>
          <w:rFonts w:ascii="Verdana" w:hAnsi="Verdana" w:hint="eastAsia"/>
          <w:sz w:val="22"/>
          <w:szCs w:val="20"/>
        </w:rPr>
        <w:t>Tris</w:t>
      </w:r>
      <w:proofErr w:type="spellEnd"/>
      <w:r w:rsidR="00462116" w:rsidRPr="00462116">
        <w:rPr>
          <w:rFonts w:ascii="Verdana" w:hAnsi="Verdana" w:hint="eastAsia"/>
          <w:sz w:val="22"/>
          <w:szCs w:val="20"/>
        </w:rPr>
        <w:t xml:space="preserve">, 0.2M </w:t>
      </w:r>
      <w:proofErr w:type="spellStart"/>
      <w:r w:rsidR="00462116" w:rsidRPr="00462116">
        <w:rPr>
          <w:rFonts w:ascii="Verdana" w:hAnsi="Verdana" w:hint="eastAsia"/>
          <w:sz w:val="22"/>
          <w:szCs w:val="20"/>
        </w:rPr>
        <w:t>NaCl</w:t>
      </w:r>
      <w:proofErr w:type="spellEnd"/>
      <w:r w:rsidR="00462116" w:rsidRPr="00462116">
        <w:rPr>
          <w:rFonts w:ascii="Verdana" w:hAnsi="Verdana" w:hint="eastAsia"/>
          <w:sz w:val="22"/>
          <w:szCs w:val="20"/>
        </w:rPr>
        <w:t>, 2mM CaCl</w:t>
      </w:r>
      <w:r w:rsidR="00462116" w:rsidRPr="00462116">
        <w:rPr>
          <w:rFonts w:ascii="Verdana" w:hAnsi="Verdana" w:hint="eastAsia"/>
          <w:sz w:val="22"/>
          <w:szCs w:val="20"/>
          <w:vertAlign w:val="subscript"/>
        </w:rPr>
        <w:t>2</w:t>
      </w:r>
      <w:r w:rsidR="00462116" w:rsidRPr="00462116">
        <w:rPr>
          <w:rFonts w:ascii="Verdana" w:hAnsi="Verdana" w:hint="eastAsia"/>
          <w:sz w:val="22"/>
          <w:szCs w:val="20"/>
        </w:rPr>
        <w:t>, 0.1% NaN</w:t>
      </w:r>
      <w:r w:rsidR="00462116" w:rsidRPr="00462116">
        <w:rPr>
          <w:rFonts w:ascii="Verdana" w:hAnsi="Verdana" w:hint="eastAsia"/>
          <w:sz w:val="22"/>
          <w:szCs w:val="20"/>
          <w:vertAlign w:val="subscript"/>
        </w:rPr>
        <w:t>3</w:t>
      </w:r>
      <w:r w:rsidR="00462116" w:rsidRPr="00462116">
        <w:rPr>
          <w:rFonts w:ascii="Verdana" w:hAnsi="Verdana" w:hint="eastAsia"/>
          <w:sz w:val="22"/>
          <w:szCs w:val="20"/>
        </w:rPr>
        <w:t>, PH:7.5</w:t>
      </w:r>
    </w:p>
    <w:p w:rsidR="00462116" w:rsidRDefault="00462116" w:rsidP="007C04CB">
      <w:pPr>
        <w:spacing w:line="250" w:lineRule="atLeast"/>
        <w:jc w:val="both"/>
        <w:outlineLvl w:val="2"/>
        <w:rPr>
          <w:rFonts w:ascii="Verdana" w:hAnsi="Verdana" w:hint="eastAsia"/>
          <w:sz w:val="20"/>
          <w:szCs w:val="20"/>
        </w:rPr>
      </w:pPr>
    </w:p>
    <w:p w:rsidR="00462116" w:rsidRPr="00462116" w:rsidRDefault="00462116" w:rsidP="007C04CB">
      <w:pPr>
        <w:spacing w:line="250" w:lineRule="atLeast"/>
        <w:jc w:val="both"/>
        <w:outlineLvl w:val="2"/>
        <w:rPr>
          <w:rFonts w:ascii="Verdana" w:hAnsi="Verdana" w:hint="eastAsia"/>
          <w:b/>
          <w:bCs/>
          <w:color w:val="31849B" w:themeColor="accent5" w:themeShade="BF"/>
          <w:sz w:val="27"/>
          <w:szCs w:val="27"/>
        </w:rPr>
      </w:pPr>
      <w:r w:rsidRPr="00462116">
        <w:rPr>
          <w:rFonts w:ascii="Verdana" w:hAnsi="Verdana" w:hint="eastAsia"/>
          <w:b/>
          <w:bCs/>
          <w:color w:val="31849B" w:themeColor="accent5" w:themeShade="BF"/>
          <w:sz w:val="27"/>
          <w:szCs w:val="27"/>
        </w:rPr>
        <w:t>Storage</w:t>
      </w:r>
    </w:p>
    <w:p w:rsidR="00462116" w:rsidRPr="00462116" w:rsidRDefault="00462116" w:rsidP="007C04CB">
      <w:pPr>
        <w:spacing w:line="250" w:lineRule="atLeast"/>
        <w:jc w:val="both"/>
        <w:outlineLvl w:val="2"/>
        <w:rPr>
          <w:rFonts w:ascii="Verdana" w:hAnsi="Verdana" w:hint="eastAsia"/>
          <w:sz w:val="22"/>
          <w:szCs w:val="20"/>
        </w:rPr>
      </w:pPr>
      <w:r w:rsidRPr="00462116">
        <w:rPr>
          <w:rFonts w:ascii="Verdana" w:hAnsi="Verdana"/>
          <w:sz w:val="22"/>
          <w:szCs w:val="20"/>
        </w:rPr>
        <w:t>Less than 3 months:</w:t>
      </w:r>
      <w:r w:rsidRPr="00462116">
        <w:rPr>
          <w:rFonts w:ascii="Verdana" w:hAnsi="Verdana" w:hint="eastAsia"/>
          <w:sz w:val="22"/>
          <w:szCs w:val="20"/>
        </w:rPr>
        <w:t xml:space="preserve"> s</w:t>
      </w:r>
      <w:r w:rsidR="007C04CB" w:rsidRPr="00462116">
        <w:rPr>
          <w:rFonts w:ascii="Verdana" w:hAnsi="Verdana"/>
          <w:sz w:val="22"/>
          <w:szCs w:val="20"/>
        </w:rPr>
        <w:t xml:space="preserve">tore at </w:t>
      </w:r>
      <w:r w:rsidR="00EC31D1" w:rsidRPr="00462116">
        <w:rPr>
          <w:rFonts w:ascii="Verdana" w:hAnsi="Verdana" w:hint="eastAsia"/>
          <w:sz w:val="22"/>
          <w:szCs w:val="20"/>
        </w:rPr>
        <w:t>4</w:t>
      </w:r>
      <w:r w:rsidR="007C04CB" w:rsidRPr="00462116">
        <w:rPr>
          <w:rFonts w:ascii="Verdana" w:hAnsi="Verdana"/>
          <w:sz w:val="22"/>
          <w:szCs w:val="20"/>
        </w:rPr>
        <w:t xml:space="preserve">°C. </w:t>
      </w:r>
    </w:p>
    <w:p w:rsidR="007C04CB" w:rsidRPr="00462116" w:rsidRDefault="007C04CB" w:rsidP="007C04CB">
      <w:pPr>
        <w:spacing w:line="250" w:lineRule="atLeast"/>
        <w:jc w:val="both"/>
        <w:outlineLvl w:val="2"/>
        <w:rPr>
          <w:rFonts w:ascii="Verdana" w:hAnsi="Verdana"/>
          <w:sz w:val="22"/>
          <w:szCs w:val="20"/>
        </w:rPr>
      </w:pPr>
      <w:r w:rsidRPr="00462116">
        <w:rPr>
          <w:rFonts w:ascii="Verdana" w:hAnsi="Verdana"/>
          <w:sz w:val="22"/>
          <w:szCs w:val="20"/>
        </w:rPr>
        <w:t>For long-term storage</w:t>
      </w:r>
      <w:r w:rsidR="00462116" w:rsidRPr="00462116">
        <w:rPr>
          <w:rFonts w:ascii="Verdana" w:hAnsi="Verdana" w:hint="eastAsia"/>
          <w:sz w:val="22"/>
          <w:szCs w:val="20"/>
        </w:rPr>
        <w:t>:</w:t>
      </w:r>
      <w:r w:rsidRPr="00462116">
        <w:rPr>
          <w:rFonts w:ascii="Verdana" w:hAnsi="Verdana"/>
          <w:sz w:val="22"/>
          <w:szCs w:val="20"/>
        </w:rPr>
        <w:t xml:space="preserve"> aliquot and freeze at -</w:t>
      </w:r>
      <w:r w:rsidR="00462116" w:rsidRPr="00462116">
        <w:rPr>
          <w:rFonts w:ascii="Verdana" w:hAnsi="Verdana" w:hint="eastAsia"/>
          <w:sz w:val="22"/>
          <w:szCs w:val="20"/>
        </w:rPr>
        <w:t>2</w:t>
      </w:r>
      <w:r w:rsidRPr="00462116">
        <w:rPr>
          <w:rFonts w:ascii="Verdana" w:hAnsi="Verdana"/>
          <w:sz w:val="22"/>
          <w:szCs w:val="20"/>
        </w:rPr>
        <w:t xml:space="preserve">0°C. Avoid repeated freeze/defrost cycles. </w:t>
      </w:r>
    </w:p>
    <w:p w:rsidR="007C04CB" w:rsidRDefault="007C04CB" w:rsidP="007C04CB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b w:val="0"/>
          <w:bCs w:val="0"/>
          <w:sz w:val="20"/>
          <w:szCs w:val="20"/>
        </w:rPr>
      </w:pPr>
    </w:p>
    <w:p w:rsidR="007C04CB" w:rsidRPr="005161DE" w:rsidRDefault="007C04CB" w:rsidP="007C04CB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color w:val="31849B" w:themeColor="accent5" w:themeShade="BF"/>
        </w:rPr>
      </w:pPr>
      <w:r w:rsidRPr="005161DE">
        <w:rPr>
          <w:rFonts w:ascii="Verdana" w:hAnsi="Verdana"/>
          <w:color w:val="31849B" w:themeColor="accent5" w:themeShade="BF"/>
        </w:rPr>
        <w:t>Applications</w:t>
      </w:r>
    </w:p>
    <w:p w:rsidR="007C04CB" w:rsidRPr="00462116" w:rsidRDefault="007C04CB" w:rsidP="007C04CB">
      <w:pPr>
        <w:pStyle w:val="Heading3"/>
        <w:spacing w:before="0" w:beforeAutospacing="0" w:after="0" w:afterAutospacing="0" w:line="240" w:lineRule="exact"/>
        <w:ind w:rightChars="225" w:right="540"/>
        <w:rPr>
          <w:rFonts w:ascii="Verdana" w:hAnsi="Verdana"/>
          <w:b w:val="0"/>
          <w:bCs w:val="0"/>
          <w:sz w:val="22"/>
          <w:szCs w:val="20"/>
        </w:rPr>
      </w:pPr>
      <w:r w:rsidRPr="00462116">
        <w:rPr>
          <w:rFonts w:ascii="Verdana" w:hAnsi="Verdana"/>
          <w:b w:val="0"/>
          <w:bCs w:val="0"/>
          <w:sz w:val="22"/>
          <w:szCs w:val="20"/>
        </w:rPr>
        <w:t>Standard ELISA test</w:t>
      </w:r>
      <w:r w:rsidRPr="00462116">
        <w:rPr>
          <w:rFonts w:ascii="Verdana" w:hAnsi="Verdana" w:hint="eastAsia"/>
          <w:b w:val="0"/>
          <w:bCs w:val="0"/>
          <w:sz w:val="22"/>
          <w:szCs w:val="20"/>
        </w:rPr>
        <w:t>,</w:t>
      </w:r>
      <w:r w:rsidRPr="00462116">
        <w:rPr>
          <w:rFonts w:ascii="Verdana" w:hAnsi="Verdana"/>
          <w:b w:val="0"/>
          <w:bCs w:val="0"/>
          <w:sz w:val="22"/>
          <w:szCs w:val="20"/>
        </w:rPr>
        <w:t xml:space="preserve"> Western blotting</w:t>
      </w:r>
      <w:r w:rsidRPr="00462116">
        <w:rPr>
          <w:rFonts w:ascii="Verdana" w:hAnsi="Verdana" w:hint="eastAsia"/>
          <w:b w:val="0"/>
          <w:bCs w:val="0"/>
          <w:sz w:val="22"/>
          <w:szCs w:val="20"/>
        </w:rPr>
        <w:t xml:space="preserve"> </w:t>
      </w:r>
    </w:p>
    <w:p w:rsidR="007C04CB" w:rsidRDefault="007C04CB" w:rsidP="007C04CB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b w:val="0"/>
          <w:bCs w:val="0"/>
          <w:sz w:val="20"/>
          <w:szCs w:val="20"/>
        </w:rPr>
      </w:pPr>
    </w:p>
    <w:p w:rsidR="007C04CB" w:rsidRDefault="007C04CB" w:rsidP="007C04CB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b w:val="0"/>
          <w:bCs w:val="0"/>
          <w:sz w:val="20"/>
          <w:szCs w:val="20"/>
        </w:rPr>
      </w:pPr>
    </w:p>
    <w:p w:rsidR="007C04CB" w:rsidRPr="005161DE" w:rsidRDefault="007C04CB" w:rsidP="007C04CB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color w:val="31849B" w:themeColor="accent5" w:themeShade="BF"/>
        </w:rPr>
      </w:pPr>
      <w:r w:rsidRPr="005161DE">
        <w:rPr>
          <w:rFonts w:ascii="Verdana" w:hAnsi="Verdana"/>
          <w:color w:val="31849B" w:themeColor="accent5" w:themeShade="BF"/>
        </w:rPr>
        <w:t>Quality Control Test</w:t>
      </w:r>
    </w:p>
    <w:p w:rsidR="00462116" w:rsidRDefault="007C04CB" w:rsidP="007C04CB">
      <w:pPr>
        <w:pStyle w:val="NormalWeb"/>
        <w:spacing w:before="0" w:beforeAutospacing="0" w:after="0" w:afterAutospacing="0" w:line="250" w:lineRule="atLeast"/>
        <w:ind w:rightChars="1650" w:right="3960"/>
        <w:rPr>
          <w:rFonts w:ascii="Verdana" w:hAnsi="Verdana" w:hint="eastAsia"/>
          <w:sz w:val="20"/>
          <w:szCs w:val="20"/>
        </w:rPr>
      </w:pPr>
      <w:proofErr w:type="gramStart"/>
      <w:r w:rsidRPr="00462116">
        <w:rPr>
          <w:rFonts w:ascii="Verdana" w:hAnsi="Verdana"/>
          <w:sz w:val="22"/>
          <w:szCs w:val="20"/>
        </w:rPr>
        <w:t xml:space="preserve">BCA to determine quantity of the </w:t>
      </w:r>
      <w:r w:rsidR="00EC31D1" w:rsidRPr="00462116">
        <w:rPr>
          <w:rFonts w:ascii="Verdana" w:hAnsi="Verdana" w:hint="eastAsia"/>
          <w:sz w:val="22"/>
          <w:szCs w:val="20"/>
        </w:rPr>
        <w:t>protein</w:t>
      </w:r>
      <w:r w:rsidRPr="00462116">
        <w:rPr>
          <w:rFonts w:ascii="Verdana" w:hAnsi="Verdana"/>
          <w:sz w:val="22"/>
          <w:szCs w:val="20"/>
        </w:rPr>
        <w:t>.</w:t>
      </w:r>
      <w:proofErr w:type="gramEnd"/>
    </w:p>
    <w:p w:rsidR="002D5CE1" w:rsidRDefault="00462116" w:rsidP="002D5CE1">
      <w:pPr>
        <w:pStyle w:val="NormalWeb"/>
        <w:spacing w:before="0" w:beforeAutospacing="0" w:after="0" w:afterAutospacing="0" w:line="250" w:lineRule="atLeast"/>
        <w:ind w:rightChars="1387" w:right="3329"/>
        <w:rPr>
          <w:rFonts w:ascii="Arial" w:hAnsi="Arial" w:cs="Arial"/>
          <w:sz w:val="20"/>
          <w:szCs w:val="20"/>
        </w:rPr>
      </w:pPr>
      <w:proofErr w:type="gramStart"/>
      <w:r w:rsidRPr="00462116">
        <w:rPr>
          <w:rFonts w:ascii="Verdana" w:hAnsi="Verdana" w:hint="eastAsia"/>
          <w:sz w:val="22"/>
          <w:szCs w:val="20"/>
        </w:rPr>
        <w:t>SDS-PAGE to determine purity of the protein.</w:t>
      </w:r>
      <w:proofErr w:type="gramEnd"/>
      <w:r w:rsidR="007C04CB">
        <w:rPr>
          <w:rFonts w:ascii="Verdana" w:hAnsi="Verdana" w:hint="eastAsia"/>
          <w:sz w:val="20"/>
          <w:szCs w:val="20"/>
        </w:rPr>
        <w:br/>
      </w:r>
    </w:p>
    <w:p w:rsidR="002D5CE1" w:rsidRDefault="002D5C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C31D1" w:rsidRDefault="00EC31D1" w:rsidP="002D5CE1">
      <w:pPr>
        <w:pStyle w:val="NormalWeb"/>
        <w:spacing w:before="0" w:beforeAutospacing="0" w:after="0" w:afterAutospacing="0" w:line="250" w:lineRule="atLeast"/>
        <w:ind w:rightChars="1387" w:right="3329"/>
        <w:rPr>
          <w:rFonts w:ascii="Arial" w:hAnsi="Arial" w:cs="Arial" w:hint="eastAsia"/>
          <w:sz w:val="20"/>
          <w:szCs w:val="20"/>
        </w:rPr>
      </w:pPr>
    </w:p>
    <w:p w:rsidR="00EC31D1" w:rsidRDefault="00EC31D1" w:rsidP="00EC31D1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 w:hint="eastAsia"/>
          <w:color w:val="31849B" w:themeColor="accent5" w:themeShade="BF"/>
        </w:rPr>
      </w:pPr>
      <w:r w:rsidRPr="00EC31D1">
        <w:rPr>
          <w:rFonts w:ascii="Verdana" w:hAnsi="Verdana"/>
          <w:color w:val="31849B" w:themeColor="accent5" w:themeShade="BF"/>
        </w:rPr>
        <w:t>Reference:</w:t>
      </w:r>
    </w:p>
    <w:p w:rsidR="00EC31D1" w:rsidRPr="00EC31D1" w:rsidRDefault="00EC31D1" w:rsidP="00EC31D1">
      <w:pPr>
        <w:pStyle w:val="Heading3"/>
        <w:spacing w:before="0" w:beforeAutospacing="0" w:after="0" w:afterAutospacing="0" w:line="240" w:lineRule="exact"/>
        <w:ind w:rightChars="1650" w:right="3960"/>
        <w:rPr>
          <w:rFonts w:ascii="Verdana" w:hAnsi="Verdana"/>
          <w:color w:val="31849B" w:themeColor="accent5" w:themeShade="BF"/>
        </w:rPr>
      </w:pP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rightChars="222" w:right="533" w:firstLine="0"/>
        <w:jc w:val="both"/>
        <w:rPr>
          <w:sz w:val="18"/>
          <w:szCs w:val="16"/>
        </w:rPr>
      </w:pPr>
      <w:r w:rsidRPr="00C35391">
        <w:rPr>
          <w:sz w:val="18"/>
          <w:szCs w:val="16"/>
        </w:rPr>
        <w:t xml:space="preserve">Thompson D., Pepys M.B. and Wood S.P. (1999) </w:t>
      </w:r>
      <w:r w:rsidRPr="00C35391">
        <w:rPr>
          <w:i/>
          <w:iCs/>
          <w:sz w:val="18"/>
          <w:szCs w:val="16"/>
        </w:rPr>
        <w:t>Structure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7</w:t>
      </w:r>
      <w:r w:rsidRPr="00C35391">
        <w:rPr>
          <w:sz w:val="18"/>
          <w:szCs w:val="16"/>
        </w:rPr>
        <w:t>, 169-177.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rightChars="222" w:right="533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Festa</w:t>
      </w:r>
      <w:proofErr w:type="spellEnd"/>
      <w:r w:rsidRPr="00C35391">
        <w:rPr>
          <w:sz w:val="18"/>
          <w:szCs w:val="16"/>
        </w:rPr>
        <w:t xml:space="preserve"> A, </w:t>
      </w:r>
      <w:proofErr w:type="spellStart"/>
      <w:r w:rsidRPr="00C35391">
        <w:rPr>
          <w:sz w:val="18"/>
          <w:szCs w:val="16"/>
        </w:rPr>
        <w:t>D’Agostino</w:t>
      </w:r>
      <w:proofErr w:type="spellEnd"/>
      <w:r w:rsidRPr="00C35391">
        <w:rPr>
          <w:sz w:val="18"/>
          <w:szCs w:val="16"/>
        </w:rPr>
        <w:t xml:space="preserve"> R. Jr., Tracy R.P. and </w:t>
      </w:r>
      <w:proofErr w:type="spellStart"/>
      <w:r w:rsidRPr="00C35391">
        <w:rPr>
          <w:sz w:val="18"/>
          <w:szCs w:val="16"/>
        </w:rPr>
        <w:t>Haffner</w:t>
      </w:r>
      <w:proofErr w:type="spellEnd"/>
      <w:r w:rsidRPr="00C35391">
        <w:rPr>
          <w:sz w:val="18"/>
          <w:szCs w:val="16"/>
        </w:rPr>
        <w:t xml:space="preserve"> S.M. (2002) </w:t>
      </w:r>
      <w:r w:rsidRPr="00C35391">
        <w:rPr>
          <w:i/>
          <w:iCs/>
          <w:sz w:val="18"/>
          <w:szCs w:val="16"/>
        </w:rPr>
        <w:t>Diabetes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51</w:t>
      </w:r>
      <w:r w:rsidRPr="00C35391">
        <w:rPr>
          <w:sz w:val="18"/>
          <w:szCs w:val="16"/>
        </w:rPr>
        <w:t>, 1131-1137.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rightChars="222" w:right="533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Verma</w:t>
      </w:r>
      <w:proofErr w:type="spellEnd"/>
      <w:r w:rsidRPr="00C35391">
        <w:rPr>
          <w:sz w:val="18"/>
          <w:szCs w:val="16"/>
        </w:rPr>
        <w:t xml:space="preserve"> S. and </w:t>
      </w:r>
      <w:proofErr w:type="spellStart"/>
      <w:r w:rsidRPr="00C35391">
        <w:rPr>
          <w:sz w:val="18"/>
          <w:szCs w:val="16"/>
        </w:rPr>
        <w:t>Yeh</w:t>
      </w:r>
      <w:proofErr w:type="spellEnd"/>
      <w:r w:rsidRPr="00C35391">
        <w:rPr>
          <w:sz w:val="18"/>
          <w:szCs w:val="16"/>
        </w:rPr>
        <w:t xml:space="preserve"> E.T. (2003) </w:t>
      </w:r>
      <w:r w:rsidRPr="00C35391">
        <w:rPr>
          <w:i/>
          <w:iCs/>
          <w:sz w:val="18"/>
          <w:szCs w:val="16"/>
        </w:rPr>
        <w:t xml:space="preserve">Am J </w:t>
      </w:r>
      <w:proofErr w:type="spellStart"/>
      <w:r w:rsidRPr="00C35391">
        <w:rPr>
          <w:i/>
          <w:iCs/>
          <w:sz w:val="18"/>
          <w:szCs w:val="16"/>
        </w:rPr>
        <w:t>Physiol</w:t>
      </w:r>
      <w:proofErr w:type="spellEnd"/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285</w:t>
      </w:r>
      <w:r w:rsidRPr="00C35391">
        <w:rPr>
          <w:sz w:val="18"/>
          <w:szCs w:val="16"/>
        </w:rPr>
        <w:t>, R1253-R1258.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rightChars="222" w:right="533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Jialal</w:t>
      </w:r>
      <w:proofErr w:type="spellEnd"/>
      <w:r w:rsidRPr="00C35391">
        <w:rPr>
          <w:sz w:val="18"/>
          <w:szCs w:val="16"/>
        </w:rPr>
        <w:t xml:space="preserve"> I., </w:t>
      </w:r>
      <w:proofErr w:type="spellStart"/>
      <w:r w:rsidRPr="00C35391">
        <w:rPr>
          <w:sz w:val="18"/>
          <w:szCs w:val="16"/>
        </w:rPr>
        <w:t>Devaraj</w:t>
      </w:r>
      <w:proofErr w:type="spellEnd"/>
      <w:r w:rsidRPr="00C35391">
        <w:rPr>
          <w:sz w:val="18"/>
          <w:szCs w:val="16"/>
        </w:rPr>
        <w:t xml:space="preserve"> S. and </w:t>
      </w:r>
      <w:proofErr w:type="spellStart"/>
      <w:r w:rsidRPr="00C35391">
        <w:rPr>
          <w:sz w:val="18"/>
          <w:szCs w:val="16"/>
        </w:rPr>
        <w:t>Venugopal</w:t>
      </w:r>
      <w:proofErr w:type="spellEnd"/>
      <w:r w:rsidRPr="00C35391">
        <w:rPr>
          <w:sz w:val="18"/>
          <w:szCs w:val="16"/>
        </w:rPr>
        <w:t xml:space="preserve"> S.K. (2004) </w:t>
      </w:r>
      <w:r w:rsidRPr="00C35391">
        <w:rPr>
          <w:i/>
          <w:iCs/>
          <w:sz w:val="18"/>
          <w:szCs w:val="16"/>
        </w:rPr>
        <w:t>Hypertension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44</w:t>
      </w:r>
      <w:r w:rsidRPr="00C35391">
        <w:rPr>
          <w:sz w:val="18"/>
          <w:szCs w:val="16"/>
        </w:rPr>
        <w:t>, 6-11.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Kindmark</w:t>
      </w:r>
      <w:proofErr w:type="spellEnd"/>
      <w:r w:rsidRPr="00C35391">
        <w:rPr>
          <w:sz w:val="18"/>
          <w:szCs w:val="16"/>
        </w:rPr>
        <w:t xml:space="preserve"> C.O. (1972) </w:t>
      </w:r>
      <w:proofErr w:type="spellStart"/>
      <w:r w:rsidRPr="00C35391">
        <w:rPr>
          <w:i/>
          <w:iCs/>
          <w:sz w:val="18"/>
          <w:szCs w:val="16"/>
        </w:rPr>
        <w:t>Scand</w:t>
      </w:r>
      <w:proofErr w:type="spellEnd"/>
      <w:r w:rsidRPr="00C35391">
        <w:rPr>
          <w:i/>
          <w:iCs/>
          <w:sz w:val="18"/>
          <w:szCs w:val="16"/>
        </w:rPr>
        <w:t xml:space="preserve"> J </w:t>
      </w:r>
      <w:proofErr w:type="spellStart"/>
      <w:r w:rsidRPr="00C35391">
        <w:rPr>
          <w:i/>
          <w:iCs/>
          <w:sz w:val="18"/>
          <w:szCs w:val="16"/>
        </w:rPr>
        <w:t>Clin</w:t>
      </w:r>
      <w:proofErr w:type="spellEnd"/>
      <w:r w:rsidRPr="00C35391">
        <w:rPr>
          <w:i/>
          <w:iCs/>
          <w:sz w:val="18"/>
          <w:szCs w:val="16"/>
        </w:rPr>
        <w:t xml:space="preserve"> Lab Invest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29</w:t>
      </w:r>
      <w:r w:rsidRPr="00C35391">
        <w:rPr>
          <w:sz w:val="18"/>
          <w:szCs w:val="16"/>
        </w:rPr>
        <w:t>, 407-411.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firstLine="0"/>
        <w:jc w:val="both"/>
        <w:rPr>
          <w:sz w:val="18"/>
          <w:szCs w:val="16"/>
        </w:rPr>
      </w:pPr>
      <w:r w:rsidRPr="00C35391">
        <w:rPr>
          <w:sz w:val="18"/>
          <w:szCs w:val="16"/>
        </w:rPr>
        <w:t xml:space="preserve">Macy E.M., Hayes T.E. and Tracy R.P. (1997) </w:t>
      </w:r>
      <w:proofErr w:type="spellStart"/>
      <w:r w:rsidRPr="00C35391">
        <w:rPr>
          <w:i/>
          <w:iCs/>
          <w:sz w:val="18"/>
          <w:szCs w:val="16"/>
        </w:rPr>
        <w:t>Clin</w:t>
      </w:r>
      <w:proofErr w:type="spellEnd"/>
      <w:r w:rsidRPr="00C35391">
        <w:rPr>
          <w:i/>
          <w:iCs/>
          <w:sz w:val="18"/>
          <w:szCs w:val="16"/>
        </w:rPr>
        <w:t xml:space="preserve"> </w:t>
      </w:r>
      <w:proofErr w:type="spellStart"/>
      <w:r w:rsidRPr="00C35391">
        <w:rPr>
          <w:i/>
          <w:iCs/>
          <w:sz w:val="18"/>
          <w:szCs w:val="16"/>
        </w:rPr>
        <w:t>Chem</w:t>
      </w:r>
      <w:proofErr w:type="spellEnd"/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43</w:t>
      </w:r>
      <w:r w:rsidRPr="00C35391">
        <w:rPr>
          <w:sz w:val="18"/>
          <w:szCs w:val="16"/>
        </w:rPr>
        <w:t>, 52-58.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Ridker</w:t>
      </w:r>
      <w:proofErr w:type="spellEnd"/>
      <w:r w:rsidRPr="00C35391">
        <w:rPr>
          <w:sz w:val="18"/>
          <w:szCs w:val="16"/>
        </w:rPr>
        <w:t xml:space="preserve"> P.M. (2004) </w:t>
      </w:r>
      <w:r w:rsidRPr="00C35391">
        <w:rPr>
          <w:i/>
          <w:iCs/>
          <w:sz w:val="18"/>
          <w:szCs w:val="16"/>
        </w:rPr>
        <w:t xml:space="preserve">Am Heart </w:t>
      </w:r>
      <w:proofErr w:type="spellStart"/>
      <w:r w:rsidRPr="00C35391">
        <w:rPr>
          <w:i/>
          <w:iCs/>
          <w:sz w:val="18"/>
          <w:szCs w:val="16"/>
        </w:rPr>
        <w:t>Hosp</w:t>
      </w:r>
      <w:proofErr w:type="spellEnd"/>
      <w:r w:rsidRPr="00C35391">
        <w:rPr>
          <w:i/>
          <w:iCs/>
          <w:sz w:val="18"/>
          <w:szCs w:val="16"/>
        </w:rPr>
        <w:t xml:space="preserve"> J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 xml:space="preserve">2 (4 </w:t>
      </w:r>
      <w:proofErr w:type="spellStart"/>
      <w:r w:rsidRPr="00C35391">
        <w:rPr>
          <w:b/>
          <w:bCs/>
          <w:sz w:val="18"/>
          <w:szCs w:val="16"/>
        </w:rPr>
        <w:t>Suppl</w:t>
      </w:r>
      <w:proofErr w:type="spellEnd"/>
      <w:r w:rsidRPr="00C35391">
        <w:rPr>
          <w:b/>
          <w:bCs/>
          <w:sz w:val="18"/>
          <w:szCs w:val="16"/>
        </w:rPr>
        <w:t xml:space="preserve"> 1)</w:t>
      </w:r>
      <w:r w:rsidRPr="00C35391">
        <w:rPr>
          <w:sz w:val="18"/>
          <w:szCs w:val="16"/>
        </w:rPr>
        <w:t>, 4-9.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firstLine="0"/>
        <w:jc w:val="both"/>
        <w:rPr>
          <w:sz w:val="18"/>
          <w:szCs w:val="16"/>
        </w:rPr>
      </w:pPr>
      <w:proofErr w:type="spellStart"/>
      <w:r w:rsidRPr="00C35391">
        <w:rPr>
          <w:sz w:val="18"/>
          <w:szCs w:val="16"/>
        </w:rPr>
        <w:t>Benzaquen</w:t>
      </w:r>
      <w:proofErr w:type="spellEnd"/>
      <w:r w:rsidRPr="00C35391">
        <w:rPr>
          <w:sz w:val="18"/>
          <w:szCs w:val="16"/>
        </w:rPr>
        <w:t xml:space="preserve"> </w:t>
      </w:r>
      <w:proofErr w:type="spellStart"/>
      <w:r w:rsidRPr="00C35391">
        <w:rPr>
          <w:sz w:val="18"/>
          <w:szCs w:val="16"/>
        </w:rPr>
        <w:t>l.R</w:t>
      </w:r>
      <w:proofErr w:type="spellEnd"/>
      <w:r w:rsidRPr="00C35391">
        <w:rPr>
          <w:sz w:val="18"/>
          <w:szCs w:val="16"/>
        </w:rPr>
        <w:t xml:space="preserve">., Yu H. and </w:t>
      </w:r>
      <w:proofErr w:type="spellStart"/>
      <w:r w:rsidRPr="00C35391">
        <w:rPr>
          <w:sz w:val="18"/>
          <w:szCs w:val="16"/>
        </w:rPr>
        <w:t>Rifai</w:t>
      </w:r>
      <w:proofErr w:type="spellEnd"/>
      <w:r w:rsidRPr="00C35391">
        <w:rPr>
          <w:sz w:val="18"/>
          <w:szCs w:val="16"/>
        </w:rPr>
        <w:t xml:space="preserve"> N. (2002) </w:t>
      </w:r>
      <w:proofErr w:type="spellStart"/>
      <w:r w:rsidRPr="00C35391">
        <w:rPr>
          <w:i/>
          <w:iCs/>
          <w:sz w:val="18"/>
          <w:szCs w:val="16"/>
        </w:rPr>
        <w:t>Crit</w:t>
      </w:r>
      <w:proofErr w:type="spellEnd"/>
      <w:r w:rsidRPr="00C35391">
        <w:rPr>
          <w:i/>
          <w:iCs/>
          <w:sz w:val="18"/>
          <w:szCs w:val="16"/>
        </w:rPr>
        <w:t xml:space="preserve"> Rev </w:t>
      </w:r>
      <w:proofErr w:type="spellStart"/>
      <w:r w:rsidRPr="00C35391">
        <w:rPr>
          <w:i/>
          <w:iCs/>
          <w:sz w:val="18"/>
          <w:szCs w:val="16"/>
        </w:rPr>
        <w:t>Clin</w:t>
      </w:r>
      <w:proofErr w:type="spellEnd"/>
      <w:r w:rsidRPr="00C35391">
        <w:rPr>
          <w:i/>
          <w:iCs/>
          <w:sz w:val="18"/>
          <w:szCs w:val="16"/>
        </w:rPr>
        <w:t xml:space="preserve"> Lab </w:t>
      </w:r>
      <w:proofErr w:type="spellStart"/>
      <w:r w:rsidRPr="00C35391">
        <w:rPr>
          <w:i/>
          <w:iCs/>
          <w:sz w:val="18"/>
          <w:szCs w:val="16"/>
        </w:rPr>
        <w:t>Sci</w:t>
      </w:r>
      <w:proofErr w:type="spellEnd"/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39</w:t>
      </w:r>
      <w:r w:rsidRPr="00C35391">
        <w:rPr>
          <w:sz w:val="18"/>
          <w:szCs w:val="16"/>
        </w:rPr>
        <w:t>, 459-497.</w:t>
      </w:r>
    </w:p>
    <w:p w:rsidR="00EC31D1" w:rsidRPr="00C35391" w:rsidRDefault="00EC31D1" w:rsidP="00EC31D1">
      <w:pPr>
        <w:numPr>
          <w:ilvl w:val="0"/>
          <w:numId w:val="3"/>
        </w:numPr>
        <w:tabs>
          <w:tab w:val="left" w:pos="-90"/>
          <w:tab w:val="left" w:pos="270"/>
          <w:tab w:val="left" w:pos="630"/>
        </w:tabs>
        <w:ind w:left="0" w:firstLine="0"/>
        <w:jc w:val="both"/>
        <w:rPr>
          <w:sz w:val="18"/>
          <w:szCs w:val="16"/>
        </w:rPr>
      </w:pPr>
      <w:r w:rsidRPr="00C35391">
        <w:rPr>
          <w:sz w:val="18"/>
          <w:szCs w:val="16"/>
        </w:rPr>
        <w:t xml:space="preserve">Pearson T.A. et al., (2003) </w:t>
      </w:r>
      <w:r w:rsidRPr="00C35391">
        <w:rPr>
          <w:i/>
          <w:iCs/>
          <w:sz w:val="18"/>
          <w:szCs w:val="16"/>
        </w:rPr>
        <w:t>Circulation</w:t>
      </w:r>
      <w:r w:rsidRPr="00C35391">
        <w:rPr>
          <w:sz w:val="18"/>
          <w:szCs w:val="16"/>
        </w:rPr>
        <w:t xml:space="preserve">, </w:t>
      </w:r>
      <w:r w:rsidRPr="00C35391">
        <w:rPr>
          <w:b/>
          <w:bCs/>
          <w:sz w:val="18"/>
          <w:szCs w:val="16"/>
        </w:rPr>
        <w:t>107</w:t>
      </w:r>
      <w:r w:rsidRPr="00C35391">
        <w:rPr>
          <w:sz w:val="18"/>
          <w:szCs w:val="16"/>
        </w:rPr>
        <w:t>, 499-511.</w:t>
      </w: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</w:p>
    <w:p w:rsidR="002D5CE1" w:rsidRDefault="002D5CE1" w:rsidP="007C04CB">
      <w:pPr>
        <w:jc w:val="both"/>
        <w:rPr>
          <w:rFonts w:ascii="Verdana" w:hAnsi="Verdana" w:hint="eastAsia"/>
          <w:b/>
          <w:bCs/>
        </w:rPr>
      </w:pPr>
      <w:bookmarkStart w:id="0" w:name="_GoBack"/>
      <w:bookmarkEnd w:id="0"/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EC31D1" w:rsidRDefault="00EC31D1" w:rsidP="007C04CB">
      <w:pPr>
        <w:jc w:val="both"/>
        <w:rPr>
          <w:rFonts w:ascii="Verdana" w:hAnsi="Verdana" w:hint="eastAsia"/>
          <w:b/>
          <w:bCs/>
        </w:rPr>
      </w:pPr>
    </w:p>
    <w:p w:rsidR="007C04CB" w:rsidRPr="008E51D5" w:rsidRDefault="007C04CB" w:rsidP="007C04CB">
      <w:pPr>
        <w:jc w:val="both"/>
        <w:rPr>
          <w:rFonts w:ascii="Verdana" w:hAnsi="Verdana"/>
        </w:rPr>
      </w:pPr>
      <w:r w:rsidRPr="008E51D5">
        <w:rPr>
          <w:rFonts w:ascii="Verdana" w:hAnsi="Verdana"/>
          <w:b/>
          <w:bCs/>
        </w:rPr>
        <w:t>Contact Us</w:t>
      </w:r>
    </w:p>
    <w:p w:rsidR="007C04CB" w:rsidRPr="00A91C7D" w:rsidRDefault="007C04CB" w:rsidP="007C04CB">
      <w:pPr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A91C7D">
        <w:rPr>
          <w:rFonts w:ascii="Verdana" w:hAnsi="Verdana"/>
          <w:sz w:val="21"/>
          <w:szCs w:val="21"/>
        </w:rPr>
        <w:t xml:space="preserve">   Website: www.immunodiagnostics.com.hk</w:t>
      </w:r>
    </w:p>
    <w:p w:rsidR="007C04CB" w:rsidRPr="00A91C7D" w:rsidRDefault="007C04CB" w:rsidP="007C04CB">
      <w:pPr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A91C7D">
        <w:rPr>
          <w:rFonts w:ascii="Verdana" w:hAnsi="Verdana"/>
          <w:sz w:val="21"/>
          <w:szCs w:val="21"/>
        </w:rPr>
        <w:t xml:space="preserve">   E-mail: info</w:t>
      </w:r>
      <w:r>
        <w:rPr>
          <w:rFonts w:ascii="Verdana" w:hAnsi="Verdana" w:hint="eastAsia"/>
          <w:sz w:val="21"/>
          <w:szCs w:val="21"/>
        </w:rPr>
        <w:t>@immunodiagnostics.com.hk</w:t>
      </w:r>
    </w:p>
    <w:p w:rsidR="007C04CB" w:rsidRPr="00A91C7D" w:rsidRDefault="007C04CB" w:rsidP="007C04CB">
      <w:pPr>
        <w:numPr>
          <w:ilvl w:val="0"/>
          <w:numId w:val="2"/>
        </w:numPr>
        <w:jc w:val="both"/>
        <w:rPr>
          <w:rFonts w:ascii="Verdana" w:hAnsi="Verdana"/>
          <w:sz w:val="21"/>
          <w:szCs w:val="21"/>
        </w:rPr>
      </w:pPr>
      <w:r w:rsidRPr="00A91C7D">
        <w:rPr>
          <w:rFonts w:ascii="Verdana" w:hAnsi="Verdana"/>
          <w:sz w:val="21"/>
          <w:szCs w:val="21"/>
        </w:rPr>
        <w:t xml:space="preserve">   Tel: (+852) 2831 5526; 2831 5508</w:t>
      </w:r>
    </w:p>
    <w:p w:rsidR="00A51C27" w:rsidRPr="007C04CB" w:rsidRDefault="007C04CB" w:rsidP="007C04CB">
      <w:pPr>
        <w:numPr>
          <w:ilvl w:val="0"/>
          <w:numId w:val="2"/>
        </w:numPr>
        <w:jc w:val="both"/>
        <w:rPr>
          <w:rFonts w:ascii="Verdana" w:hAnsi="Verdana"/>
          <w:b/>
          <w:bCs/>
          <w:color w:val="0000FF"/>
          <w:sz w:val="21"/>
          <w:szCs w:val="21"/>
          <w:lang w:val="en-CA"/>
        </w:rPr>
      </w:pPr>
      <w:r w:rsidRPr="00A91C7D">
        <w:rPr>
          <w:rFonts w:ascii="Verdana" w:hAnsi="Verdana"/>
          <w:sz w:val="21"/>
          <w:szCs w:val="21"/>
        </w:rPr>
        <w:t xml:space="preserve">   Fax: (+852) 28</w:t>
      </w:r>
      <w:r w:rsidRPr="000A6FEA">
        <w:rPr>
          <w:rFonts w:ascii="Verdana" w:hAnsi="Verdana"/>
          <w:sz w:val="21"/>
          <w:szCs w:val="21"/>
        </w:rPr>
        <w:t xml:space="preserve">16 2095 </w:t>
      </w:r>
      <w:r w:rsidR="00690D11" w:rsidRPr="007C04CB">
        <w:t xml:space="preserve"> </w:t>
      </w:r>
    </w:p>
    <w:sectPr w:rsidR="00A51C27" w:rsidRPr="007C04CB" w:rsidSect="00BB23E3">
      <w:headerReference w:type="default" r:id="rId8"/>
      <w:footerReference w:type="default" r:id="rId9"/>
      <w:pgSz w:w="12240" w:h="15840"/>
      <w:pgMar w:top="1977" w:right="1800" w:bottom="1440" w:left="1800" w:header="540" w:footer="1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53" w:rsidRDefault="008C1653" w:rsidP="006E18AA">
      <w:r>
        <w:separator/>
      </w:r>
    </w:p>
  </w:endnote>
  <w:endnote w:type="continuationSeparator" w:id="0">
    <w:p w:rsidR="008C1653" w:rsidRDefault="008C1653" w:rsidP="006E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HKPF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E7" w:rsidRDefault="00CD7AE7">
    <w:pPr>
      <w:pStyle w:val="Footer"/>
    </w:pPr>
  </w:p>
  <w:p w:rsidR="00CD7AE7" w:rsidRDefault="00CD7AE7">
    <w:pPr>
      <w:pStyle w:val="Footer"/>
    </w:pPr>
    <w:r w:rsidRPr="00CD7AE7">
      <w:rPr>
        <w:noProof/>
      </w:rPr>
      <w:drawing>
        <wp:inline distT="0" distB="0" distL="0" distR="0">
          <wp:extent cx="5486400" cy="375505"/>
          <wp:effectExtent l="19050" t="0" r="0" b="0"/>
          <wp:docPr id="2" name="图片 2" descr="C:\Users\user\Desktop\图片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图片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7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23E3" w:rsidRDefault="00BB23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53" w:rsidRDefault="008C1653" w:rsidP="006E18AA">
      <w:r>
        <w:separator/>
      </w:r>
    </w:p>
  </w:footnote>
  <w:footnote w:type="continuationSeparator" w:id="0">
    <w:p w:rsidR="008C1653" w:rsidRDefault="008C1653" w:rsidP="006E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F8" w:rsidRPr="00D11AB9" w:rsidRDefault="00387AF8" w:rsidP="00387AF8">
    <w:pPr>
      <w:pStyle w:val="Header"/>
      <w:rPr>
        <w:rFonts w:asciiTheme="minorHAnsi" w:hAnsiTheme="minorHAnsi"/>
      </w:rPr>
    </w:pPr>
    <w:r>
      <w:rPr>
        <w:noProof/>
      </w:rPr>
      <w:drawing>
        <wp:inline distT="0" distB="0" distL="0" distR="0">
          <wp:extent cx="398534" cy="373711"/>
          <wp:effectExtent l="0" t="0" r="0" b="0"/>
          <wp:docPr id="3" name="图片 3" descr="F:\Courseware\A.I.S\ImmunoDiagnostics Limited\Catagory Design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Courseware\A.I.S\ImmunoDiagnostics Limited\Catagory Design\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03" cy="382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A6FEA">
      <w:rPr>
        <w:rFonts w:hint="eastAsia"/>
        <w:sz w:val="30"/>
        <w:szCs w:val="30"/>
      </w:rPr>
      <w:t xml:space="preserve"> </w:t>
    </w:r>
    <w:r w:rsidRPr="000A6FEA">
      <w:rPr>
        <w:rFonts w:ascii="Verdana" w:hAnsi="Verdana" w:cs="Arial"/>
        <w:b/>
        <w:i/>
        <w:color w:val="31849B" w:themeColor="accent5" w:themeShade="BF"/>
        <w:sz w:val="32"/>
        <w:szCs w:val="32"/>
      </w:rPr>
      <w:t>ImmunoDiagnostics Limited</w:t>
    </w:r>
    <w:r w:rsidRPr="000A6FEA">
      <w:rPr>
        <w:rFonts w:ascii="Verdana" w:hAnsi="Verdana"/>
        <w:b/>
        <w:i/>
        <w:color w:val="31849B" w:themeColor="accent5" w:themeShade="BF"/>
        <w:sz w:val="30"/>
        <w:szCs w:val="30"/>
      </w:rPr>
      <w:t xml:space="preserve"> </w:t>
    </w:r>
    <w:r w:rsidRPr="000A6FEA">
      <w:rPr>
        <w:rFonts w:hint="eastAsia"/>
        <w:b/>
        <w:i/>
        <w:color w:val="31849B" w:themeColor="accent5" w:themeShade="BF"/>
        <w:sz w:val="30"/>
        <w:szCs w:val="30"/>
      </w:rPr>
      <w:t xml:space="preserve">  </w:t>
    </w:r>
    <w:r w:rsidRPr="000A6FEA">
      <w:rPr>
        <w:rFonts w:hint="eastAsia"/>
        <w:b/>
        <w:i/>
        <w:color w:val="31849B" w:themeColor="accent5" w:themeShade="BF"/>
      </w:rPr>
      <w:t xml:space="preserve">     </w:t>
    </w:r>
    <w:r>
      <w:rPr>
        <w:rFonts w:asciiTheme="minorHAnsi" w:hAnsiTheme="minorHAnsi" w:hint="eastAsia"/>
      </w:rPr>
      <w:t xml:space="preserve">  </w:t>
    </w:r>
    <w:r w:rsidRPr="00387AF8">
      <w:rPr>
        <w:rFonts w:asciiTheme="minorHAnsi" w:hAnsiTheme="minorHAnsi"/>
        <w:b/>
        <w:sz w:val="28"/>
        <w:szCs w:val="28"/>
      </w:rPr>
      <w:t>Product Datasheet</w:t>
    </w:r>
  </w:p>
  <w:p w:rsidR="00387AF8" w:rsidRDefault="00387AF8">
    <w:pPr>
      <w:pStyle w:val="Header"/>
    </w:pPr>
  </w:p>
  <w:p w:rsidR="00BB23E3" w:rsidRDefault="00880B0E">
    <w:pPr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-59690</wp:posOffset>
              </wp:positionV>
              <wp:extent cx="5478145" cy="0"/>
              <wp:effectExtent l="22225" t="16510" r="24130" b="215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4.7pt;width:431.3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" strokecolor="#31849b [2408]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27760F38"/>
    <w:multiLevelType w:val="hybridMultilevel"/>
    <w:tmpl w:val="126882C6"/>
    <w:lvl w:ilvl="0" w:tplc="7D14C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C67625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0B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E2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2E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16C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0C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6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A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CA43CE"/>
    <w:multiLevelType w:val="hybridMultilevel"/>
    <w:tmpl w:val="013EDE0C"/>
    <w:lvl w:ilvl="0" w:tplc="33BE4B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625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0B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E2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2E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16C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0C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6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A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E96"/>
    <w:rsid w:val="000A6FEA"/>
    <w:rsid w:val="000C5130"/>
    <w:rsid w:val="00104B3E"/>
    <w:rsid w:val="00172611"/>
    <w:rsid w:val="00172A27"/>
    <w:rsid w:val="001E486D"/>
    <w:rsid w:val="00230CEF"/>
    <w:rsid w:val="00242A89"/>
    <w:rsid w:val="00254E6E"/>
    <w:rsid w:val="002D5CE1"/>
    <w:rsid w:val="003464FC"/>
    <w:rsid w:val="003542F1"/>
    <w:rsid w:val="00377965"/>
    <w:rsid w:val="00387AF8"/>
    <w:rsid w:val="00412FBE"/>
    <w:rsid w:val="00462116"/>
    <w:rsid w:val="005058C1"/>
    <w:rsid w:val="00541638"/>
    <w:rsid w:val="005C67A2"/>
    <w:rsid w:val="006608D1"/>
    <w:rsid w:val="00690D11"/>
    <w:rsid w:val="006C2D8D"/>
    <w:rsid w:val="007C04CB"/>
    <w:rsid w:val="007F429F"/>
    <w:rsid w:val="008400ED"/>
    <w:rsid w:val="00880B0E"/>
    <w:rsid w:val="008C1653"/>
    <w:rsid w:val="008E51D5"/>
    <w:rsid w:val="008E77BB"/>
    <w:rsid w:val="009717C9"/>
    <w:rsid w:val="00973788"/>
    <w:rsid w:val="00A104E8"/>
    <w:rsid w:val="00A26491"/>
    <w:rsid w:val="00A51C27"/>
    <w:rsid w:val="00A5747C"/>
    <w:rsid w:val="00A662BD"/>
    <w:rsid w:val="00A80623"/>
    <w:rsid w:val="00A91C7D"/>
    <w:rsid w:val="00B0668C"/>
    <w:rsid w:val="00B71BA0"/>
    <w:rsid w:val="00BB23E3"/>
    <w:rsid w:val="00BF3AB2"/>
    <w:rsid w:val="00C35391"/>
    <w:rsid w:val="00C96CBF"/>
    <w:rsid w:val="00CD7AE7"/>
    <w:rsid w:val="00D11AB9"/>
    <w:rsid w:val="00D333E5"/>
    <w:rsid w:val="00D5548C"/>
    <w:rsid w:val="00D9182F"/>
    <w:rsid w:val="00DF047C"/>
    <w:rsid w:val="00E069AA"/>
    <w:rsid w:val="00E448EE"/>
    <w:rsid w:val="00E75974"/>
    <w:rsid w:val="00E86F6B"/>
    <w:rsid w:val="00EC31D1"/>
    <w:rsid w:val="00F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E3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BB23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B23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B23E3"/>
    <w:rPr>
      <w:color w:val="800080"/>
      <w:u w:val="single"/>
    </w:rPr>
  </w:style>
  <w:style w:type="character" w:customStyle="1" w:styleId="style41">
    <w:name w:val="style41"/>
    <w:basedOn w:val="DefaultParagraphFont"/>
    <w:rsid w:val="00BB23E3"/>
    <w:rPr>
      <w:rFonts w:ascii="Courier New" w:hAnsi="Courier New" w:cs="Courier New" w:hint="default"/>
      <w:color w:val="FFFFFF"/>
    </w:rPr>
  </w:style>
  <w:style w:type="character" w:styleId="Hyperlink">
    <w:name w:val="Hyperlink"/>
    <w:basedOn w:val="DefaultParagraphFont"/>
    <w:rsid w:val="00BB23E3"/>
    <w:rPr>
      <w:color w:val="0000FF"/>
      <w:u w:val="single"/>
    </w:rPr>
  </w:style>
  <w:style w:type="character" w:customStyle="1" w:styleId="style42">
    <w:name w:val="style42"/>
    <w:basedOn w:val="DefaultParagraphFont"/>
    <w:rsid w:val="00BB23E3"/>
    <w:rPr>
      <w:rFonts w:ascii="Courier New" w:hAnsi="Courier New" w:cs="Courier New" w:hint="default"/>
      <w:color w:val="FFFFFF"/>
    </w:rPr>
  </w:style>
  <w:style w:type="character" w:customStyle="1" w:styleId="style91">
    <w:name w:val="style91"/>
    <w:basedOn w:val="DefaultParagraphFont"/>
    <w:rsid w:val="00BB23E3"/>
    <w:rPr>
      <w:b/>
      <w:bCs/>
      <w:color w:val="000000"/>
    </w:rPr>
  </w:style>
  <w:style w:type="character" w:customStyle="1" w:styleId="BalloonTextChar">
    <w:name w:val="Balloon Text Char"/>
    <w:basedOn w:val="DefaultParagraphFont"/>
    <w:link w:val="BalloonText"/>
    <w:rsid w:val="00BB23E3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BB23E3"/>
    <w:pPr>
      <w:tabs>
        <w:tab w:val="center" w:pos="4320"/>
        <w:tab w:val="right" w:pos="8640"/>
      </w:tabs>
    </w:pPr>
  </w:style>
  <w:style w:type="paragraph" w:customStyle="1" w:styleId="style7">
    <w:name w:val="style7"/>
    <w:basedOn w:val="Normal"/>
    <w:rsid w:val="00BB23E3"/>
    <w:pPr>
      <w:spacing w:before="100" w:beforeAutospacing="1" w:after="100" w:afterAutospacing="1"/>
    </w:pPr>
    <w:rPr>
      <w:color w:val="0000FF"/>
    </w:rPr>
  </w:style>
  <w:style w:type="paragraph" w:styleId="NormalWeb">
    <w:name w:val="Normal (Web)"/>
    <w:basedOn w:val="Normal"/>
    <w:rsid w:val="00BB23E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BB23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23E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7AE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AF8"/>
    <w:rPr>
      <w:sz w:val="24"/>
      <w:szCs w:val="24"/>
    </w:rPr>
  </w:style>
  <w:style w:type="paragraph" w:customStyle="1" w:styleId="Default">
    <w:name w:val="Default"/>
    <w:rsid w:val="00541638"/>
    <w:pPr>
      <w:autoSpaceDE w:val="0"/>
      <w:autoSpaceDN w:val="0"/>
      <w:adjustRightInd w:val="0"/>
    </w:pPr>
    <w:rPr>
      <w:rFonts w:ascii="NHKPF B+ Helvetica" w:hAnsi="NHKPF B+ Helvetica" w:cs="NHKPF B+ Helvetic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C04CB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C04CB"/>
    <w:rPr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rsid w:val="007C0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SimSun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7C04CB"/>
    <w:rPr>
      <w:rFonts w:ascii="SimSun" w:hAnsi="SimSun" w:cs="SimSu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E3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BB23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B23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B23E3"/>
    <w:rPr>
      <w:color w:val="800080"/>
      <w:u w:val="single"/>
    </w:rPr>
  </w:style>
  <w:style w:type="character" w:customStyle="1" w:styleId="style41">
    <w:name w:val="style41"/>
    <w:basedOn w:val="DefaultParagraphFont"/>
    <w:rsid w:val="00BB23E3"/>
    <w:rPr>
      <w:rFonts w:ascii="Courier New" w:hAnsi="Courier New" w:cs="Courier New" w:hint="default"/>
      <w:color w:val="FFFFFF"/>
    </w:rPr>
  </w:style>
  <w:style w:type="character" w:styleId="Hyperlink">
    <w:name w:val="Hyperlink"/>
    <w:basedOn w:val="DefaultParagraphFont"/>
    <w:rsid w:val="00BB23E3"/>
    <w:rPr>
      <w:color w:val="0000FF"/>
      <w:u w:val="single"/>
    </w:rPr>
  </w:style>
  <w:style w:type="character" w:customStyle="1" w:styleId="style42">
    <w:name w:val="style42"/>
    <w:basedOn w:val="DefaultParagraphFont"/>
    <w:rsid w:val="00BB23E3"/>
    <w:rPr>
      <w:rFonts w:ascii="Courier New" w:hAnsi="Courier New" w:cs="Courier New" w:hint="default"/>
      <w:color w:val="FFFFFF"/>
    </w:rPr>
  </w:style>
  <w:style w:type="character" w:customStyle="1" w:styleId="style91">
    <w:name w:val="style91"/>
    <w:basedOn w:val="DefaultParagraphFont"/>
    <w:rsid w:val="00BB23E3"/>
    <w:rPr>
      <w:b/>
      <w:bCs/>
      <w:color w:val="000000"/>
    </w:rPr>
  </w:style>
  <w:style w:type="character" w:customStyle="1" w:styleId="BalloonTextChar">
    <w:name w:val="Balloon Text Char"/>
    <w:basedOn w:val="DefaultParagraphFont"/>
    <w:link w:val="BalloonText"/>
    <w:rsid w:val="00BB23E3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BB23E3"/>
    <w:pPr>
      <w:tabs>
        <w:tab w:val="center" w:pos="4320"/>
        <w:tab w:val="right" w:pos="8640"/>
      </w:tabs>
    </w:pPr>
  </w:style>
  <w:style w:type="paragraph" w:customStyle="1" w:styleId="style7">
    <w:name w:val="style7"/>
    <w:basedOn w:val="Normal"/>
    <w:rsid w:val="00BB23E3"/>
    <w:pPr>
      <w:spacing w:before="100" w:beforeAutospacing="1" w:after="100" w:afterAutospacing="1"/>
    </w:pPr>
    <w:rPr>
      <w:color w:val="0000FF"/>
    </w:rPr>
  </w:style>
  <w:style w:type="paragraph" w:styleId="NormalWeb">
    <w:name w:val="Normal (Web)"/>
    <w:basedOn w:val="Normal"/>
    <w:rsid w:val="00BB23E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BB23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23E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7AE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AF8"/>
    <w:rPr>
      <w:sz w:val="24"/>
      <w:szCs w:val="24"/>
    </w:rPr>
  </w:style>
  <w:style w:type="paragraph" w:customStyle="1" w:styleId="Default">
    <w:name w:val="Default"/>
    <w:rsid w:val="00541638"/>
    <w:pPr>
      <w:autoSpaceDE w:val="0"/>
      <w:autoSpaceDN w:val="0"/>
      <w:adjustRightInd w:val="0"/>
    </w:pPr>
    <w:rPr>
      <w:rFonts w:ascii="NHKPF B+ Helvetica" w:hAnsi="NHKPF B+ Helvetica" w:cs="NHKPF B+ Helvetic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C04CB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C04CB"/>
    <w:rPr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rsid w:val="007C0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SimSun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7C04CB"/>
    <w:rPr>
      <w:rFonts w:ascii="SimSun" w:hAns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6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364</Words>
  <Characters>2076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Recombinant Adiponectin with Flag Tag (Human)</vt:lpstr>
    </vt:vector>
  </TitlesOfParts>
  <Company>UDM, HKU.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Recombinant Adiponectin with Flag Tag (Human)</dc:title>
  <dc:creator>AIMIN</dc:creator>
  <cp:lastModifiedBy>Medicine</cp:lastModifiedBy>
  <cp:revision>9</cp:revision>
  <cp:lastPrinted>2017-03-10T01:50:00Z</cp:lastPrinted>
  <dcterms:created xsi:type="dcterms:W3CDTF">2017-03-09T10:32:00Z</dcterms:created>
  <dcterms:modified xsi:type="dcterms:W3CDTF">2017-03-10T01:51:00Z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