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28" w:rsidRDefault="00742728" w:rsidP="00742728">
      <w:pPr>
        <w:pStyle w:val="Heading2"/>
        <w:spacing w:line="250" w:lineRule="atLeast"/>
        <w:ind w:rightChars="-75" w:right="-180"/>
        <w:jc w:val="both"/>
        <w:rPr>
          <w:rFonts w:ascii="Verdana" w:hAnsi="Verdana"/>
          <w:sz w:val="30"/>
        </w:rPr>
      </w:pPr>
      <w:r>
        <w:rPr>
          <w:rFonts w:ascii="Verdana" w:hAnsi="Verdana"/>
          <w:sz w:val="30"/>
        </w:rPr>
        <w:t>Polyclonal Antibody against Human Adiponectin</w:t>
      </w:r>
    </w:p>
    <w:p w:rsidR="00742728" w:rsidRDefault="00742728" w:rsidP="00742728">
      <w:pPr>
        <w:autoSpaceDE w:val="0"/>
        <w:autoSpaceDN w:val="0"/>
        <w:adjustRightInd w:val="0"/>
        <w:ind w:rightChars="-75" w:right="-180"/>
        <w:jc w:val="both"/>
        <w:rPr>
          <w:rFonts w:ascii="Helvetica-Condensed-Bold" w:hAnsi="Helvetica-Condensed-Bold" w:cs="Helvetica-Condensed-Bold" w:hint="eastAsia"/>
          <w:b/>
          <w:bCs/>
          <w:sz w:val="21"/>
          <w:szCs w:val="16"/>
        </w:rPr>
      </w:pPr>
      <w:r>
        <w:rPr>
          <w:rFonts w:ascii="Helvetica-Condensed-Bold" w:hAnsi="Helvetica-Condensed-Bold" w:cs="Helvetica-Condensed-Bold"/>
          <w:b/>
          <w:bCs/>
          <w:sz w:val="21"/>
          <w:szCs w:val="16"/>
        </w:rPr>
        <w:t>Catalog Number: 11010</w:t>
      </w:r>
      <w:r>
        <w:rPr>
          <w:rFonts w:ascii="Helvetica-Condensed-Bold" w:hAnsi="Helvetica-Condensed-Bold" w:cs="Helvetica-Condensed-Bold" w:hint="eastAsia"/>
          <w:b/>
          <w:bCs/>
          <w:sz w:val="21"/>
          <w:szCs w:val="16"/>
        </w:rPr>
        <w:t>-S10</w:t>
      </w:r>
      <w:r>
        <w:rPr>
          <w:rFonts w:ascii="Helvetica-Condensed-Bold" w:hAnsi="Helvetica-Condensed-Bold" w:cs="Helvetica-Condensed-Bold"/>
          <w:b/>
          <w:bCs/>
          <w:sz w:val="21"/>
          <w:szCs w:val="16"/>
        </w:rPr>
        <w:t xml:space="preserve">                      Size: </w:t>
      </w:r>
      <w:r w:rsidR="00C956CF">
        <w:rPr>
          <w:rFonts w:ascii="Helvetica-Condensed-Bold" w:hAnsi="Helvetica-Condensed-Bold" w:cs="Helvetica-Condensed-Bold" w:hint="eastAsia"/>
          <w:b/>
          <w:bCs/>
          <w:sz w:val="21"/>
          <w:szCs w:val="16"/>
        </w:rPr>
        <w:t>5</w:t>
      </w:r>
      <w:r w:rsidR="008B29C0">
        <w:rPr>
          <w:rFonts w:ascii="Helvetica-Condensed-Bold" w:hAnsi="Helvetica-Condensed-Bold" w:cs="Helvetica-Condensed-Bold" w:hint="eastAsia"/>
          <w:b/>
          <w:bCs/>
          <w:sz w:val="21"/>
          <w:szCs w:val="16"/>
        </w:rPr>
        <w:t xml:space="preserve"> mg</w:t>
      </w:r>
      <w:r>
        <w:rPr>
          <w:rFonts w:ascii="Helvetica-Condensed-Bold" w:hAnsi="Helvetica-Condensed-Bold" w:cs="Helvetica-Condensed-Bold" w:hint="eastAsia"/>
          <w:b/>
          <w:bCs/>
          <w:sz w:val="21"/>
          <w:szCs w:val="16"/>
        </w:rPr>
        <w:t xml:space="preserve">                           </w:t>
      </w:r>
      <w:r>
        <w:rPr>
          <w:rFonts w:ascii="Helvetica-Condensed-Bold" w:hAnsi="Helvetica-Condensed-Bold" w:cs="Helvetica-Condensed-Bold"/>
          <w:b/>
          <w:bCs/>
          <w:sz w:val="21"/>
          <w:szCs w:val="16"/>
        </w:rPr>
        <w:t>Host:</w:t>
      </w:r>
      <w:r>
        <w:rPr>
          <w:rFonts w:ascii="Helvetica-Condensed-Bold" w:hAnsi="Helvetica-Condensed-Bold" w:cs="Helvetica-Condensed-Bold" w:hint="eastAsia"/>
          <w:b/>
          <w:bCs/>
          <w:sz w:val="21"/>
          <w:szCs w:val="16"/>
        </w:rPr>
        <w:t xml:space="preserve">  </w:t>
      </w:r>
      <w:r>
        <w:rPr>
          <w:rFonts w:ascii="Helvetica-Condensed-Bold" w:hAnsi="Helvetica-Condensed-Bold" w:cs="Helvetica-Condensed-Bold"/>
          <w:b/>
          <w:bCs/>
          <w:sz w:val="21"/>
          <w:szCs w:val="16"/>
        </w:rPr>
        <w:t xml:space="preserve"> Rabbit</w:t>
      </w:r>
    </w:p>
    <w:p w:rsidR="00C956CF" w:rsidRDefault="00C956CF" w:rsidP="00742728">
      <w:pPr>
        <w:autoSpaceDE w:val="0"/>
        <w:autoSpaceDN w:val="0"/>
        <w:adjustRightInd w:val="0"/>
        <w:ind w:rightChars="-75" w:right="-180"/>
        <w:jc w:val="both"/>
        <w:rPr>
          <w:rFonts w:ascii="Helvetica-Condensed-Bold" w:hAnsi="Helvetica-Condensed-Bold" w:cs="Helvetica-Condensed-Bold"/>
          <w:b/>
          <w:bCs/>
          <w:sz w:val="21"/>
          <w:szCs w:val="16"/>
        </w:rPr>
      </w:pPr>
      <w:r>
        <w:rPr>
          <w:rFonts w:ascii="Helvetica-Condensed-Bold" w:hAnsi="Helvetica-Condensed-Bold" w:cs="Helvetica-Condensed-Bold" w:hint="eastAsia"/>
          <w:b/>
          <w:bCs/>
          <w:sz w:val="21"/>
          <w:szCs w:val="16"/>
        </w:rPr>
        <w:t>Lot No: IMD20170728                              concentration: 5mg/ml       Purity: &gt;95%</w:t>
      </w:r>
    </w:p>
    <w:p w:rsidR="00742728" w:rsidRDefault="00742728" w:rsidP="00742728">
      <w:pPr>
        <w:pStyle w:val="Heading3"/>
        <w:spacing w:before="0" w:beforeAutospacing="0" w:after="0" w:afterAutospacing="0"/>
        <w:jc w:val="both"/>
        <w:rPr>
          <w:rFonts w:ascii="Verdana" w:hAnsi="Verdana"/>
          <w:color w:val="31849B" w:themeColor="accent5" w:themeShade="BF"/>
        </w:rPr>
      </w:pPr>
    </w:p>
    <w:p w:rsidR="00742728" w:rsidRDefault="00742728" w:rsidP="00742728">
      <w:pPr>
        <w:pStyle w:val="Heading3"/>
        <w:spacing w:before="0" w:beforeAutospacing="0" w:after="0" w:afterAutospacing="0"/>
        <w:jc w:val="both"/>
        <w:rPr>
          <w:rFonts w:ascii="Verdana" w:hAnsi="Verdana"/>
          <w:color w:val="31849B" w:themeColor="accent5" w:themeShade="BF"/>
        </w:rPr>
      </w:pPr>
      <w:r w:rsidRPr="000A6FEA">
        <w:rPr>
          <w:rFonts w:ascii="Verdana" w:hAnsi="Verdana"/>
          <w:color w:val="31849B" w:themeColor="accent5" w:themeShade="BF"/>
        </w:rPr>
        <w:t>Introduction to the Molecule</w:t>
      </w:r>
    </w:p>
    <w:p w:rsidR="00742728" w:rsidRDefault="00742728" w:rsidP="00742728">
      <w:pPr>
        <w:pStyle w:val="Heading3"/>
        <w:spacing w:before="0" w:beforeAutospacing="0" w:after="0" w:afterAutospacing="0"/>
        <w:jc w:val="both"/>
        <w:rPr>
          <w:rFonts w:ascii="Verdana" w:hAnsi="Verdana" w:cs="Arial"/>
          <w:b w:val="0"/>
          <w:color w:val="000000" w:themeColor="text1"/>
          <w:sz w:val="20"/>
          <w:szCs w:val="20"/>
        </w:rPr>
      </w:pPr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 xml:space="preserve">Adiponectin, also termed gelatin-binding protein-28 (GBP28), </w:t>
      </w:r>
      <w:proofErr w:type="spellStart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>AdipoQ</w:t>
      </w:r>
      <w:proofErr w:type="spellEnd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 xml:space="preserve">, ACP30 (Acrp30), or </w:t>
      </w:r>
      <w:proofErr w:type="spellStart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>apM</w:t>
      </w:r>
      <w:proofErr w:type="spellEnd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 xml:space="preserve">, is a major adipocyte-secreted </w:t>
      </w:r>
      <w:proofErr w:type="spellStart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>adipokine</w:t>
      </w:r>
      <w:proofErr w:type="spellEnd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 xml:space="preserve"> which abundantly present in the circulation as three distinct oligomeric complexes: </w:t>
      </w:r>
      <w:proofErr w:type="gramStart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>LMW(</w:t>
      </w:r>
      <w:proofErr w:type="gramEnd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 xml:space="preserve">67kDa), MMW(167kDa) and HMW(300kDa) adiponectin. Its levels are decreased in insulin resistant, diabetes and cardiovascular disease. Conversely, elevation of circulating adiponectin concentrations can alleviate various vascular dysfunctions in animal models, suggesting this </w:t>
      </w:r>
      <w:proofErr w:type="spellStart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>adipokine</w:t>
      </w:r>
      <w:proofErr w:type="spellEnd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 xml:space="preserve"> exerts </w:t>
      </w:r>
      <w:proofErr w:type="spellStart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>vasculoprotective</w:t>
      </w:r>
      <w:proofErr w:type="spellEnd"/>
      <w:r w:rsidRPr="00742728">
        <w:rPr>
          <w:rFonts w:ascii="Verdana" w:hAnsi="Verdana" w:cs="Arial"/>
          <w:b w:val="0"/>
          <w:color w:val="000000" w:themeColor="text1"/>
          <w:sz w:val="20"/>
          <w:szCs w:val="20"/>
        </w:rPr>
        <w:t xml:space="preserve"> effects.  In addition, adiponectin may also be of importance in the development and progression of several malignancies.</w:t>
      </w:r>
    </w:p>
    <w:p w:rsidR="00742728" w:rsidRPr="00742728" w:rsidRDefault="00742728" w:rsidP="00742728">
      <w:pPr>
        <w:pStyle w:val="Heading3"/>
        <w:spacing w:before="0" w:beforeAutospacing="0" w:after="0" w:afterAutospacing="0"/>
        <w:jc w:val="both"/>
        <w:rPr>
          <w:rFonts w:ascii="Verdana" w:hAnsi="Verdana" w:cs="Arial"/>
          <w:b w:val="0"/>
          <w:color w:val="000000" w:themeColor="text1"/>
          <w:sz w:val="20"/>
          <w:szCs w:val="20"/>
        </w:rPr>
      </w:pPr>
    </w:p>
    <w:p w:rsidR="00742728" w:rsidRPr="00742728" w:rsidRDefault="00742728" w:rsidP="00742728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31849B" w:themeColor="accent5" w:themeShade="BF"/>
        </w:rPr>
      </w:pPr>
      <w:r w:rsidRPr="00742728">
        <w:rPr>
          <w:rFonts w:ascii="Verdana" w:hAnsi="Verdana"/>
          <w:color w:val="31849B" w:themeColor="accent5" w:themeShade="BF"/>
        </w:rPr>
        <w:t>Isotype/Preparation:</w:t>
      </w:r>
    </w:p>
    <w:p w:rsidR="00742728" w:rsidRPr="00742728" w:rsidRDefault="00742728" w:rsidP="00742728">
      <w:pPr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>Rabbit crude IgG was purified by protein-G column</w:t>
      </w:r>
    </w:p>
    <w:p w:rsidR="00742728" w:rsidRPr="00742728" w:rsidRDefault="00742728" w:rsidP="00742728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31849B" w:themeColor="accent5" w:themeShade="BF"/>
        </w:rPr>
      </w:pPr>
    </w:p>
    <w:p w:rsidR="00742728" w:rsidRPr="00742728" w:rsidRDefault="00742728" w:rsidP="00742728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31849B" w:themeColor="accent5" w:themeShade="BF"/>
        </w:rPr>
      </w:pPr>
      <w:r w:rsidRPr="00742728">
        <w:rPr>
          <w:rFonts w:ascii="Verdana" w:hAnsi="Verdana"/>
          <w:color w:val="31849B" w:themeColor="accent5" w:themeShade="BF"/>
        </w:rPr>
        <w:t>Immunogen:</w:t>
      </w:r>
    </w:p>
    <w:p w:rsidR="00742728" w:rsidRPr="00742728" w:rsidRDefault="00742728" w:rsidP="00742728">
      <w:pPr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>Recombinant full-length human adiponectin expressed in mammalian cells</w:t>
      </w:r>
    </w:p>
    <w:p w:rsidR="00742728" w:rsidRPr="00742728" w:rsidRDefault="00742728" w:rsidP="00742728">
      <w:pPr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742728" w:rsidRPr="00742728" w:rsidRDefault="00742728" w:rsidP="00742728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31849B" w:themeColor="accent5" w:themeShade="BF"/>
        </w:rPr>
      </w:pPr>
      <w:r w:rsidRPr="00742728">
        <w:rPr>
          <w:rFonts w:ascii="Verdana" w:hAnsi="Verdana"/>
          <w:color w:val="31849B" w:themeColor="accent5" w:themeShade="BF"/>
        </w:rPr>
        <w:t>Specificity:</w:t>
      </w:r>
    </w:p>
    <w:p w:rsidR="00742728" w:rsidRPr="00742728" w:rsidRDefault="00742728" w:rsidP="00742728">
      <w:pPr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>The antibody detects three types of circular human adiponectin and monomer (30kDa) adiponectin</w:t>
      </w:r>
    </w:p>
    <w:p w:rsidR="00742728" w:rsidRPr="00742728" w:rsidRDefault="00742728" w:rsidP="00742728">
      <w:pPr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742728" w:rsidRPr="00742728" w:rsidRDefault="00742728" w:rsidP="00742728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31849B" w:themeColor="accent5" w:themeShade="BF"/>
        </w:rPr>
      </w:pPr>
      <w:r w:rsidRPr="00742728">
        <w:rPr>
          <w:rFonts w:ascii="Verdana" w:hAnsi="Verdana"/>
          <w:color w:val="31849B" w:themeColor="accent5" w:themeShade="BF"/>
        </w:rPr>
        <w:t>Formulation:</w:t>
      </w:r>
    </w:p>
    <w:p w:rsidR="00742728" w:rsidRPr="00742728" w:rsidRDefault="00742728" w:rsidP="00742728">
      <w:pPr>
        <w:autoSpaceDE w:val="0"/>
        <w:autoSpaceDN w:val="0"/>
        <w:adjustRightInd w:val="0"/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proofErr w:type="gramStart"/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>Solution in PBS.</w:t>
      </w:r>
      <w:proofErr w:type="gramEnd"/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 xml:space="preserve"> Store at –20°C. For long-term storage, aliquot and freeze at -70°C. Avoid repeated freeze/defrost cycles.</w:t>
      </w:r>
    </w:p>
    <w:p w:rsidR="00742728" w:rsidRPr="00742728" w:rsidRDefault="00742728" w:rsidP="00742728">
      <w:pPr>
        <w:autoSpaceDE w:val="0"/>
        <w:autoSpaceDN w:val="0"/>
        <w:adjustRightInd w:val="0"/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742728" w:rsidRPr="00742728" w:rsidRDefault="00742728" w:rsidP="00742728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31849B" w:themeColor="accent5" w:themeShade="BF"/>
        </w:rPr>
      </w:pPr>
      <w:r w:rsidRPr="00742728">
        <w:rPr>
          <w:rFonts w:ascii="Verdana" w:hAnsi="Verdana"/>
          <w:color w:val="31849B" w:themeColor="accent5" w:themeShade="BF"/>
        </w:rPr>
        <w:t>Application/Usage:</w:t>
      </w:r>
    </w:p>
    <w:p w:rsidR="00742728" w:rsidRPr="00742728" w:rsidRDefault="00742728" w:rsidP="00742728">
      <w:pPr>
        <w:autoSpaceDE w:val="0"/>
        <w:autoSpaceDN w:val="0"/>
        <w:adjustRightInd w:val="0"/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 xml:space="preserve">Western blot - This antibody can be used at 0.1 - 0.2 </w:t>
      </w:r>
      <w:proofErr w:type="spellStart"/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>μg</w:t>
      </w:r>
      <w:proofErr w:type="spellEnd"/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>/mL with the appropriate secondary reagents to detect human adiponectin.</w:t>
      </w:r>
    </w:p>
    <w:p w:rsidR="00742728" w:rsidRDefault="00742728" w:rsidP="00742728">
      <w:pPr>
        <w:pStyle w:val="Default"/>
        <w:spacing w:before="80"/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 xml:space="preserve">ELISA - This antibody can be used at 0.5 - 1.0 </w:t>
      </w:r>
      <w:proofErr w:type="spellStart"/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>μg</w:t>
      </w:r>
      <w:proofErr w:type="spellEnd"/>
      <w:r w:rsidRPr="00742728">
        <w:rPr>
          <w:rFonts w:ascii="Verdana" w:hAnsi="Verdana" w:cs="Arial"/>
          <w:bCs/>
          <w:color w:val="000000" w:themeColor="text1"/>
          <w:sz w:val="20"/>
          <w:szCs w:val="20"/>
        </w:rPr>
        <w:t>/mL with the appropriate secondary reagents to detect human Adiponectin.</w:t>
      </w:r>
    </w:p>
    <w:p w:rsidR="00742728" w:rsidRDefault="00742728" w:rsidP="00742728">
      <w:pPr>
        <w:pStyle w:val="Default"/>
        <w:spacing w:before="80"/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742728" w:rsidRDefault="00742728" w:rsidP="00742728">
      <w:pPr>
        <w:pStyle w:val="NormalWeb"/>
        <w:spacing w:before="0" w:beforeAutospacing="0" w:after="0" w:afterAutospacing="0" w:line="250" w:lineRule="atLeast"/>
        <w:jc w:val="both"/>
        <w:rPr>
          <w:rFonts w:ascii="Verdana" w:hAnsi="Verdana"/>
          <w:sz w:val="20"/>
          <w:szCs w:val="20"/>
        </w:rPr>
      </w:pPr>
    </w:p>
    <w:p w:rsidR="00742728" w:rsidRPr="000A6FEA" w:rsidRDefault="00742728" w:rsidP="00742728">
      <w:pPr>
        <w:pStyle w:val="Heading3"/>
        <w:spacing w:before="0" w:beforeAutospacing="0" w:after="0" w:afterAutospacing="0" w:line="250" w:lineRule="atLeast"/>
        <w:rPr>
          <w:rFonts w:ascii="Verdana" w:hAnsi="Verdana"/>
          <w:color w:val="31849B" w:themeColor="accent5" w:themeShade="BF"/>
        </w:rPr>
      </w:pPr>
      <w:r w:rsidRPr="000A6FEA">
        <w:rPr>
          <w:rFonts w:ascii="Verdana" w:hAnsi="Verdana"/>
          <w:color w:val="31849B" w:themeColor="accent5" w:themeShade="BF"/>
        </w:rPr>
        <w:t>Quality Control Test</w:t>
      </w:r>
    </w:p>
    <w:p w:rsidR="00C956CF" w:rsidRDefault="00742728" w:rsidP="00742728">
      <w:pPr>
        <w:pStyle w:val="NormalWeb"/>
        <w:spacing w:before="0" w:beforeAutospacing="0" w:after="0" w:afterAutospacing="0" w:line="250" w:lineRule="atLeast"/>
        <w:rPr>
          <w:rFonts w:ascii="Verdana" w:hAnsi="Verdana" w:hint="eastAsi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BCA to determine quantity of the </w:t>
      </w:r>
      <w:r>
        <w:rPr>
          <w:rFonts w:ascii="Verdana" w:hAnsi="Verdana" w:hint="eastAsia"/>
          <w:sz w:val="20"/>
          <w:szCs w:val="20"/>
        </w:rPr>
        <w:t>antibody</w:t>
      </w:r>
    </w:p>
    <w:p w:rsidR="00742728" w:rsidRDefault="00C956CF" w:rsidP="00742728">
      <w:pPr>
        <w:pStyle w:val="NormalWeb"/>
        <w:spacing w:before="0" w:beforeAutospacing="0" w:after="0" w:afterAutospacing="0" w:line="250" w:lineRule="atLeas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SDS-PAGE to determine the purity of the antibody</w:t>
      </w:r>
    </w:p>
    <w:p w:rsidR="00742728" w:rsidRPr="00742728" w:rsidRDefault="00742728" w:rsidP="00742728">
      <w:pPr>
        <w:pStyle w:val="Default"/>
        <w:spacing w:before="80"/>
        <w:ind w:rightChars="-75" w:right="-18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742728" w:rsidRDefault="00742728">
      <w:pPr>
        <w:rPr>
          <w:rFonts w:ascii="Verdana" w:hAnsi="Verdana"/>
          <w:b/>
          <w:bCs/>
          <w:color w:val="31849B" w:themeColor="accent5" w:themeShade="BF"/>
          <w:sz w:val="27"/>
          <w:szCs w:val="27"/>
        </w:rPr>
      </w:pPr>
      <w:bookmarkStart w:id="0" w:name="_GoBack"/>
      <w:bookmarkEnd w:id="0"/>
      <w:r>
        <w:rPr>
          <w:rFonts w:ascii="Verdana" w:hAnsi="Verdana"/>
          <w:b/>
          <w:bCs/>
          <w:color w:val="31849B" w:themeColor="accent5" w:themeShade="BF"/>
          <w:sz w:val="27"/>
          <w:szCs w:val="27"/>
        </w:rPr>
        <w:br w:type="page"/>
      </w:r>
    </w:p>
    <w:p w:rsidR="00742728" w:rsidRPr="00742728" w:rsidRDefault="00742728" w:rsidP="00742728">
      <w:pPr>
        <w:autoSpaceDE w:val="0"/>
        <w:autoSpaceDN w:val="0"/>
        <w:adjustRightInd w:val="0"/>
        <w:ind w:rightChars="-75" w:right="-180"/>
        <w:jc w:val="both"/>
        <w:rPr>
          <w:rFonts w:ascii="Verdana" w:hAnsi="Verdana"/>
          <w:b/>
          <w:bCs/>
          <w:color w:val="31849B" w:themeColor="accent5" w:themeShade="BF"/>
          <w:sz w:val="27"/>
          <w:szCs w:val="27"/>
        </w:rPr>
      </w:pPr>
      <w:r w:rsidRPr="00742728">
        <w:rPr>
          <w:rFonts w:ascii="Verdana" w:hAnsi="Verdana"/>
          <w:b/>
          <w:bCs/>
          <w:color w:val="31849B" w:themeColor="accent5" w:themeShade="BF"/>
          <w:sz w:val="27"/>
          <w:szCs w:val="27"/>
        </w:rPr>
        <w:lastRenderedPageBreak/>
        <w:t>Reference:</w:t>
      </w:r>
    </w:p>
    <w:p w:rsidR="00742728" w:rsidRDefault="00742728" w:rsidP="00742728">
      <w:pPr>
        <w:autoSpaceDE w:val="0"/>
        <w:autoSpaceDN w:val="0"/>
        <w:adjustRightInd w:val="0"/>
        <w:ind w:rightChars="-75" w:right="-180"/>
        <w:jc w:val="both"/>
        <w:rPr>
          <w:rFonts w:ascii="Helvetica-Condensed-Light" w:hAnsi="Helvetica-Condensed-Light" w:cs="Helvetica-Condensed-Light"/>
          <w:sz w:val="18"/>
          <w:szCs w:val="16"/>
        </w:rPr>
      </w:pPr>
      <w:r>
        <w:rPr>
          <w:rFonts w:ascii="Helvetica-Condensed-Light" w:hAnsi="Helvetica-Condensed-Light" w:cs="Helvetica-Condensed-Light"/>
          <w:sz w:val="18"/>
          <w:szCs w:val="16"/>
        </w:rPr>
        <w:t xml:space="preserve">[1] Xu A, et al. (2005) Testosterone selectively reduces the high molecular weight form of adiponectin by inhibiting its secretion from adipocytes. </w:t>
      </w:r>
      <w:r>
        <w:rPr>
          <w:rFonts w:ascii="Helvetica-Condensed-Light" w:hAnsi="Helvetica-Condensed-Light" w:cs="Helvetica-Condensed-Light"/>
          <w:i/>
          <w:sz w:val="18"/>
          <w:szCs w:val="16"/>
        </w:rPr>
        <w:t>J. Biol. Chem.</w:t>
      </w:r>
      <w:r>
        <w:rPr>
          <w:rFonts w:ascii="Helvetica-Condensed-Light" w:hAnsi="Helvetica-Condensed-Light" w:cs="Helvetica-Condensed-Light"/>
          <w:sz w:val="18"/>
          <w:szCs w:val="16"/>
        </w:rPr>
        <w:t xml:space="preserve"> 280, 18073–18080</w:t>
      </w:r>
    </w:p>
    <w:p w:rsidR="00742728" w:rsidRDefault="00742728" w:rsidP="00742728">
      <w:pPr>
        <w:autoSpaceDE w:val="0"/>
        <w:autoSpaceDN w:val="0"/>
        <w:adjustRightInd w:val="0"/>
        <w:ind w:rightChars="-75" w:right="-180"/>
        <w:jc w:val="both"/>
        <w:rPr>
          <w:rFonts w:ascii="Helvetica-Condensed-Light" w:hAnsi="Helvetica-Condensed-Light" w:cs="Helvetica-Condensed-Light"/>
          <w:sz w:val="18"/>
          <w:szCs w:val="16"/>
        </w:rPr>
      </w:pPr>
      <w:r>
        <w:rPr>
          <w:rFonts w:ascii="Helvetica-Condensed-Light" w:hAnsi="Helvetica-Condensed-Light" w:cs="Helvetica-Condensed-Light"/>
          <w:sz w:val="18"/>
          <w:szCs w:val="16"/>
        </w:rPr>
        <w:t xml:space="preserve">[2] Xu A, et al. (2008) </w:t>
      </w:r>
      <w:hyperlink r:id="rId8" w:history="1">
        <w:r>
          <w:rPr>
            <w:rFonts w:ascii="Helvetica-Condensed-Light" w:hAnsi="Helvetica-Condensed-Light" w:cs="Helvetica-Condensed-Light"/>
            <w:sz w:val="18"/>
            <w:szCs w:val="16"/>
          </w:rPr>
          <w:t>Selective Elevation of Adiponectin Production by the Natural Compounds Derived from a Medicinal Herb Alleviates Insulin Resistance and Glucose Intolerance in Obese Mice.</w:t>
        </w:r>
      </w:hyperlink>
      <w:r>
        <w:rPr>
          <w:rFonts w:ascii="Helvetica-Condensed-Light" w:hAnsi="Helvetica-Condensed-Light" w:cs="Helvetica-Condensed-Light"/>
          <w:sz w:val="18"/>
          <w:szCs w:val="16"/>
        </w:rPr>
        <w:t xml:space="preserve"> </w:t>
      </w:r>
      <w:proofErr w:type="gramStart"/>
      <w:r>
        <w:rPr>
          <w:rFonts w:ascii="Helvetica-Condensed-Light" w:hAnsi="Helvetica-Condensed-Light" w:cs="Helvetica-Condensed-Light"/>
          <w:i/>
          <w:sz w:val="18"/>
          <w:szCs w:val="16"/>
        </w:rPr>
        <w:t>Endocrinology</w:t>
      </w:r>
      <w:r>
        <w:rPr>
          <w:rFonts w:ascii="Helvetica-Condensed-Light" w:hAnsi="Helvetica-Condensed-Light" w:cs="Helvetica-Condensed-Light"/>
          <w:sz w:val="18"/>
          <w:szCs w:val="16"/>
        </w:rPr>
        <w:t>.</w:t>
      </w:r>
      <w:proofErr w:type="gramEnd"/>
      <w:r>
        <w:rPr>
          <w:rFonts w:ascii="Helvetica-Condensed-Light" w:hAnsi="Helvetica-Condensed-Light" w:cs="Helvetica-Condensed-Light"/>
          <w:sz w:val="18"/>
          <w:szCs w:val="16"/>
        </w:rPr>
        <w:t xml:space="preserve"> [</w:t>
      </w:r>
      <w:proofErr w:type="spellStart"/>
      <w:r>
        <w:rPr>
          <w:rFonts w:ascii="Helvetica-Condensed-Light" w:hAnsi="Helvetica-Condensed-Light" w:cs="Helvetica-Condensed-Light"/>
          <w:sz w:val="18"/>
          <w:szCs w:val="16"/>
        </w:rPr>
        <w:t>Epub</w:t>
      </w:r>
      <w:proofErr w:type="spellEnd"/>
      <w:r>
        <w:rPr>
          <w:rFonts w:ascii="Helvetica-Condensed-Light" w:hAnsi="Helvetica-Condensed-Light" w:cs="Helvetica-Condensed-Light"/>
          <w:sz w:val="18"/>
          <w:szCs w:val="16"/>
        </w:rPr>
        <w:t xml:space="preserve"> ahead of print]</w:t>
      </w:r>
    </w:p>
    <w:p w:rsidR="00742728" w:rsidRDefault="00742728" w:rsidP="00742728">
      <w:pPr>
        <w:autoSpaceDE w:val="0"/>
        <w:autoSpaceDN w:val="0"/>
        <w:adjustRightInd w:val="0"/>
        <w:ind w:rightChars="-75" w:right="-180"/>
        <w:jc w:val="both"/>
        <w:rPr>
          <w:rFonts w:ascii="Helvetica-Condensed-Light" w:hAnsi="Helvetica-Condensed-Light" w:cs="Helvetica-Condensed-Light"/>
          <w:sz w:val="18"/>
          <w:szCs w:val="16"/>
        </w:rPr>
      </w:pPr>
      <w:r>
        <w:rPr>
          <w:rFonts w:ascii="Helvetica-Condensed-Light" w:hAnsi="Helvetica-Condensed-Light" w:cs="Helvetica-Condensed-Light"/>
          <w:sz w:val="18"/>
          <w:szCs w:val="16"/>
        </w:rPr>
        <w:t xml:space="preserve">[3] Xu A, et al. (2004) </w:t>
      </w:r>
      <w:hyperlink r:id="rId9" w:history="1">
        <w:r>
          <w:rPr>
            <w:rFonts w:ascii="Helvetica-Condensed-Light" w:hAnsi="Helvetica-Condensed-Light" w:cs="Helvetica-Condensed-Light"/>
            <w:sz w:val="18"/>
            <w:szCs w:val="16"/>
          </w:rPr>
          <w:t>Adiponectin ameliorates dyslipidemia induced by the human immunodeficiency virus protease inhibitor ritonavir in mice.</w:t>
        </w:r>
      </w:hyperlink>
      <w:r>
        <w:rPr>
          <w:rFonts w:ascii="Helvetica-Condensed-Light" w:hAnsi="Helvetica-Condensed-Light" w:cs="Helvetica-Condensed-Light"/>
          <w:sz w:val="18"/>
          <w:szCs w:val="16"/>
        </w:rPr>
        <w:t xml:space="preserve"> </w:t>
      </w:r>
      <w:proofErr w:type="gramStart"/>
      <w:r>
        <w:rPr>
          <w:rFonts w:ascii="Helvetica-Condensed-Light" w:hAnsi="Helvetica-Condensed-Light" w:cs="Helvetica-Condensed-Light"/>
          <w:i/>
          <w:sz w:val="18"/>
          <w:szCs w:val="16"/>
        </w:rPr>
        <w:t>Endocrinology.</w:t>
      </w:r>
      <w:proofErr w:type="gramEnd"/>
      <w:r>
        <w:rPr>
          <w:rFonts w:ascii="Helvetica-Condensed-Light" w:hAnsi="Helvetica-Condensed-Light" w:cs="Helvetica-Condensed-Light"/>
          <w:sz w:val="18"/>
          <w:szCs w:val="16"/>
        </w:rPr>
        <w:t xml:space="preserve"> 145(2):487-94</w:t>
      </w:r>
    </w:p>
    <w:p w:rsidR="00742728" w:rsidRDefault="00742728" w:rsidP="00742728">
      <w:pPr>
        <w:pStyle w:val="authors1"/>
        <w:spacing w:line="240" w:lineRule="auto"/>
        <w:ind w:left="0" w:rightChars="-75" w:right="-180"/>
        <w:jc w:val="both"/>
        <w:rPr>
          <w:rFonts w:ascii="Helvetica-Condensed-Light" w:hAnsi="Helvetica-Condensed-Light" w:cs="Helvetica-Condensed-Light"/>
          <w:sz w:val="18"/>
          <w:szCs w:val="16"/>
        </w:rPr>
      </w:pPr>
      <w:r>
        <w:rPr>
          <w:rFonts w:ascii="Helvetica-Condensed-Light" w:hAnsi="Helvetica-Condensed-Light" w:cs="Helvetica-Condensed-Light"/>
          <w:sz w:val="18"/>
          <w:szCs w:val="16"/>
        </w:rPr>
        <w:t xml:space="preserve">[4] Wang Y, et al. (2008) </w:t>
      </w:r>
      <w:hyperlink r:id="rId10" w:history="1">
        <w:r>
          <w:rPr>
            <w:rFonts w:ascii="Helvetica-Condensed-Light" w:hAnsi="Helvetica-Condensed-Light" w:cs="Helvetica-Condensed-Light"/>
            <w:sz w:val="18"/>
            <w:szCs w:val="16"/>
          </w:rPr>
          <w:t>Post-translational modifications of adiponectin: mechanisms and functional implications.</w:t>
        </w:r>
      </w:hyperlink>
      <w:r>
        <w:rPr>
          <w:rFonts w:ascii="Helvetica-Condensed-Light" w:hAnsi="Helvetica-Condensed-Light" w:cs="Helvetica-Condensed-Light"/>
          <w:sz w:val="18"/>
          <w:szCs w:val="16"/>
        </w:rPr>
        <w:t xml:space="preserve"> </w:t>
      </w:r>
      <w:proofErr w:type="spellStart"/>
      <w:r>
        <w:rPr>
          <w:rFonts w:ascii="Helvetica-Condensed-Light" w:hAnsi="Helvetica-Condensed-Light" w:cs="Helvetica-Condensed-Light"/>
          <w:i/>
          <w:sz w:val="18"/>
          <w:szCs w:val="16"/>
        </w:rPr>
        <w:t>Biochem</w:t>
      </w:r>
      <w:proofErr w:type="spellEnd"/>
      <w:r>
        <w:rPr>
          <w:rFonts w:ascii="Helvetica-Condensed-Light" w:hAnsi="Helvetica-Condensed-Light" w:cs="Helvetica-Condensed-Light"/>
          <w:i/>
          <w:sz w:val="18"/>
          <w:szCs w:val="16"/>
        </w:rPr>
        <w:t xml:space="preserve"> J.</w:t>
      </w:r>
      <w:r>
        <w:rPr>
          <w:rFonts w:ascii="Helvetica-Condensed-Light" w:hAnsi="Helvetica-Condensed-Light" w:cs="Helvetica-Condensed-Light"/>
          <w:sz w:val="18"/>
          <w:szCs w:val="16"/>
        </w:rPr>
        <w:t xml:space="preserve"> 409(3):623-33</w:t>
      </w:r>
    </w:p>
    <w:p w:rsidR="00BB23E3" w:rsidRDefault="00BB23E3">
      <w:pPr>
        <w:jc w:val="both"/>
        <w:rPr>
          <w:rFonts w:ascii="Verdana" w:hAnsi="Verdana"/>
          <w:sz w:val="20"/>
          <w:szCs w:val="20"/>
        </w:rPr>
      </w:pPr>
    </w:p>
    <w:p w:rsidR="00BB23E3" w:rsidRDefault="00BB23E3">
      <w:pPr>
        <w:jc w:val="both"/>
        <w:rPr>
          <w:rFonts w:ascii="Verdana" w:hAnsi="Verdana"/>
          <w:sz w:val="20"/>
          <w:szCs w:val="20"/>
        </w:rPr>
      </w:pPr>
    </w:p>
    <w:p w:rsidR="00BB23E3" w:rsidRDefault="00BB23E3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742728" w:rsidRDefault="00742728" w:rsidP="00742728">
      <w:pPr>
        <w:jc w:val="both"/>
        <w:rPr>
          <w:rFonts w:ascii="Verdana" w:hAnsi="Verdana"/>
          <w:sz w:val="20"/>
          <w:szCs w:val="20"/>
        </w:rPr>
      </w:pPr>
    </w:p>
    <w:p w:rsidR="00BB23E3" w:rsidRDefault="00BB23E3">
      <w:pPr>
        <w:jc w:val="both"/>
        <w:rPr>
          <w:rFonts w:ascii="Verdana" w:hAnsi="Verdana"/>
          <w:sz w:val="20"/>
          <w:szCs w:val="20"/>
        </w:rPr>
      </w:pPr>
    </w:p>
    <w:p w:rsidR="000A6FEA" w:rsidRPr="008E51D5" w:rsidRDefault="00A51C27" w:rsidP="000A6FEA">
      <w:pPr>
        <w:jc w:val="both"/>
        <w:rPr>
          <w:rFonts w:ascii="Verdana" w:hAnsi="Verdana"/>
        </w:rPr>
      </w:pPr>
      <w:r w:rsidRPr="008E51D5">
        <w:rPr>
          <w:rFonts w:ascii="Verdana" w:hAnsi="Verdana"/>
          <w:lang w:val="en-CA"/>
        </w:rPr>
        <w:t xml:space="preserve"> </w:t>
      </w:r>
      <w:r w:rsidR="000A6FEA" w:rsidRPr="008E51D5">
        <w:rPr>
          <w:rFonts w:ascii="Verdana" w:hAnsi="Verdana"/>
          <w:b/>
          <w:bCs/>
        </w:rPr>
        <w:t>Contact Us</w:t>
      </w:r>
    </w:p>
    <w:p w:rsidR="006608D1" w:rsidRPr="00A91C7D" w:rsidRDefault="00690D11" w:rsidP="000A6FEA">
      <w:pPr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A91C7D">
        <w:rPr>
          <w:rFonts w:ascii="Verdana" w:hAnsi="Verdana"/>
          <w:sz w:val="21"/>
          <w:szCs w:val="21"/>
        </w:rPr>
        <w:t xml:space="preserve">   Website: www.immunodiagnostics.com.hk</w:t>
      </w:r>
    </w:p>
    <w:p w:rsidR="006608D1" w:rsidRPr="00A91C7D" w:rsidRDefault="00690D11" w:rsidP="000A6FEA">
      <w:pPr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A91C7D">
        <w:rPr>
          <w:rFonts w:ascii="Verdana" w:hAnsi="Verdana"/>
          <w:sz w:val="21"/>
          <w:szCs w:val="21"/>
        </w:rPr>
        <w:t xml:space="preserve">   E-mail: </w:t>
      </w:r>
      <w:r w:rsidR="00A91C7D" w:rsidRPr="00A91C7D">
        <w:rPr>
          <w:rFonts w:ascii="Verdana" w:hAnsi="Verdana"/>
          <w:sz w:val="21"/>
          <w:szCs w:val="21"/>
        </w:rPr>
        <w:t>info</w:t>
      </w:r>
      <w:r w:rsidR="00A91C7D">
        <w:rPr>
          <w:rFonts w:ascii="Verdana" w:hAnsi="Verdana" w:hint="eastAsia"/>
          <w:sz w:val="21"/>
          <w:szCs w:val="21"/>
        </w:rPr>
        <w:t>@immunodiagnostics.com.hk</w:t>
      </w:r>
    </w:p>
    <w:p w:rsidR="006608D1" w:rsidRPr="00A91C7D" w:rsidRDefault="00690D11" w:rsidP="000A6FEA">
      <w:pPr>
        <w:numPr>
          <w:ilvl w:val="0"/>
          <w:numId w:val="2"/>
        </w:numPr>
        <w:jc w:val="both"/>
        <w:rPr>
          <w:rFonts w:ascii="Verdana" w:hAnsi="Verdana"/>
          <w:sz w:val="21"/>
          <w:szCs w:val="21"/>
        </w:rPr>
      </w:pPr>
      <w:r w:rsidRPr="00A91C7D">
        <w:rPr>
          <w:rFonts w:ascii="Verdana" w:hAnsi="Verdana"/>
          <w:sz w:val="21"/>
          <w:szCs w:val="21"/>
        </w:rPr>
        <w:t xml:space="preserve">   Tel: (+852) 2831 5526; 2831 5508</w:t>
      </w:r>
    </w:p>
    <w:p w:rsidR="00A51C27" w:rsidRPr="000A6FEA" w:rsidRDefault="00690D11" w:rsidP="000A6FEA">
      <w:pPr>
        <w:numPr>
          <w:ilvl w:val="0"/>
          <w:numId w:val="2"/>
        </w:numPr>
        <w:jc w:val="both"/>
        <w:rPr>
          <w:rFonts w:ascii="Verdana" w:hAnsi="Verdana"/>
          <w:b/>
          <w:bCs/>
          <w:color w:val="0000FF"/>
          <w:sz w:val="21"/>
          <w:szCs w:val="21"/>
          <w:lang w:val="en-CA"/>
        </w:rPr>
      </w:pPr>
      <w:r w:rsidRPr="00A91C7D">
        <w:rPr>
          <w:rFonts w:ascii="Verdana" w:hAnsi="Verdana"/>
          <w:sz w:val="21"/>
          <w:szCs w:val="21"/>
        </w:rPr>
        <w:t xml:space="preserve">   Fax: (+852) 28</w:t>
      </w:r>
      <w:r w:rsidRPr="000A6FEA">
        <w:rPr>
          <w:rFonts w:ascii="Verdana" w:hAnsi="Verdana"/>
          <w:sz w:val="21"/>
          <w:szCs w:val="21"/>
        </w:rPr>
        <w:t xml:space="preserve">16 2095 </w:t>
      </w:r>
    </w:p>
    <w:sectPr w:rsidR="00A51C27" w:rsidRPr="000A6FEA" w:rsidSect="00BB23E3">
      <w:headerReference w:type="default" r:id="rId11"/>
      <w:footerReference w:type="default" r:id="rId12"/>
      <w:pgSz w:w="12240" w:h="15840"/>
      <w:pgMar w:top="1977" w:right="1800" w:bottom="1440" w:left="1800" w:header="540" w:footer="10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33" w:rsidRDefault="00265933" w:rsidP="006E18AA">
      <w:r>
        <w:separator/>
      </w:r>
    </w:p>
  </w:endnote>
  <w:endnote w:type="continuationSeparator" w:id="0">
    <w:p w:rsidR="00265933" w:rsidRDefault="00265933" w:rsidP="006E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HKPF B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Condensed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Condensed-Ligh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E7" w:rsidRDefault="00CD7AE7">
    <w:pPr>
      <w:pStyle w:val="Footer"/>
    </w:pPr>
  </w:p>
  <w:p w:rsidR="00CD7AE7" w:rsidRDefault="00CD7AE7">
    <w:pPr>
      <w:pStyle w:val="Footer"/>
    </w:pPr>
    <w:r w:rsidRPr="00CD7AE7">
      <w:rPr>
        <w:noProof/>
      </w:rPr>
      <w:drawing>
        <wp:inline distT="0" distB="0" distL="0" distR="0">
          <wp:extent cx="5486400" cy="375505"/>
          <wp:effectExtent l="19050" t="0" r="0" b="0"/>
          <wp:docPr id="2" name="图片 2" descr="C:\Users\user\Desktop\图片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图片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37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23E3" w:rsidRDefault="00BB23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33" w:rsidRDefault="00265933" w:rsidP="006E18AA">
      <w:r>
        <w:separator/>
      </w:r>
    </w:p>
  </w:footnote>
  <w:footnote w:type="continuationSeparator" w:id="0">
    <w:p w:rsidR="00265933" w:rsidRDefault="00265933" w:rsidP="006E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F8" w:rsidRPr="00D11AB9" w:rsidRDefault="00387AF8" w:rsidP="00387AF8">
    <w:pPr>
      <w:pStyle w:val="Header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398534" cy="373711"/>
          <wp:effectExtent l="0" t="0" r="0" b="0"/>
          <wp:docPr id="3" name="图片 3" descr="F:\Courseware\A.I.S\ImmunoDiagnostics Limited\Catagory Design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Courseware\A.I.S\ImmunoDiagnostics Limited\Catagory Design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03" cy="382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A6FEA">
      <w:rPr>
        <w:rFonts w:hint="eastAsia"/>
        <w:sz w:val="30"/>
        <w:szCs w:val="30"/>
      </w:rPr>
      <w:t xml:space="preserve"> </w:t>
    </w:r>
    <w:r w:rsidRPr="000A6FEA">
      <w:rPr>
        <w:rFonts w:ascii="Verdana" w:hAnsi="Verdana" w:cs="Arial"/>
        <w:b/>
        <w:i/>
        <w:color w:val="31849B" w:themeColor="accent5" w:themeShade="BF"/>
        <w:sz w:val="32"/>
        <w:szCs w:val="32"/>
      </w:rPr>
      <w:t>ImmunoDiagnostics Limited</w:t>
    </w:r>
    <w:r w:rsidRPr="000A6FEA">
      <w:rPr>
        <w:rFonts w:ascii="Verdana" w:hAnsi="Verdana"/>
        <w:b/>
        <w:i/>
        <w:color w:val="31849B" w:themeColor="accent5" w:themeShade="BF"/>
        <w:sz w:val="30"/>
        <w:szCs w:val="30"/>
      </w:rPr>
      <w:t xml:space="preserve"> </w:t>
    </w:r>
    <w:r w:rsidRPr="000A6FEA">
      <w:rPr>
        <w:rFonts w:hint="eastAsia"/>
        <w:b/>
        <w:i/>
        <w:color w:val="31849B" w:themeColor="accent5" w:themeShade="BF"/>
        <w:sz w:val="30"/>
        <w:szCs w:val="30"/>
      </w:rPr>
      <w:t xml:space="preserve">  </w:t>
    </w:r>
    <w:r w:rsidRPr="000A6FEA">
      <w:rPr>
        <w:rFonts w:hint="eastAsia"/>
        <w:b/>
        <w:i/>
        <w:color w:val="31849B" w:themeColor="accent5" w:themeShade="BF"/>
      </w:rPr>
      <w:t xml:space="preserve">     </w:t>
    </w:r>
    <w:r>
      <w:rPr>
        <w:rFonts w:asciiTheme="minorHAnsi" w:hAnsiTheme="minorHAnsi" w:hint="eastAsia"/>
      </w:rPr>
      <w:t xml:space="preserve">  </w:t>
    </w:r>
    <w:r w:rsidRPr="00387AF8">
      <w:rPr>
        <w:rFonts w:asciiTheme="minorHAnsi" w:hAnsiTheme="minorHAnsi"/>
        <w:b/>
        <w:sz w:val="28"/>
        <w:szCs w:val="28"/>
      </w:rPr>
      <w:t>Product Datasheet</w:t>
    </w:r>
  </w:p>
  <w:p w:rsidR="00387AF8" w:rsidRDefault="00387AF8">
    <w:pPr>
      <w:pStyle w:val="Header"/>
    </w:pPr>
  </w:p>
  <w:p w:rsidR="00BB23E3" w:rsidRDefault="00636708">
    <w:pPr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-59690</wp:posOffset>
              </wp:positionV>
              <wp:extent cx="5478145" cy="0"/>
              <wp:effectExtent l="22225" t="16510" r="24130" b="215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4.7pt;width:431.3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" strokecolor="#31849b [2408]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0F38"/>
    <w:multiLevelType w:val="hybridMultilevel"/>
    <w:tmpl w:val="126882C6"/>
    <w:lvl w:ilvl="0" w:tplc="7D14C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C6762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0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2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2E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6C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0C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6A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AA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CA43CE"/>
    <w:multiLevelType w:val="hybridMultilevel"/>
    <w:tmpl w:val="013EDE0C"/>
    <w:lvl w:ilvl="0" w:tplc="33BE4B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62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0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2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2E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6C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0C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6A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AA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3E96"/>
    <w:rsid w:val="000A6FEA"/>
    <w:rsid w:val="000C5130"/>
    <w:rsid w:val="00104B3E"/>
    <w:rsid w:val="00172611"/>
    <w:rsid w:val="00172A27"/>
    <w:rsid w:val="001E486D"/>
    <w:rsid w:val="00230CEF"/>
    <w:rsid w:val="00242A89"/>
    <w:rsid w:val="00254E6E"/>
    <w:rsid w:val="00265933"/>
    <w:rsid w:val="003542F1"/>
    <w:rsid w:val="00377965"/>
    <w:rsid w:val="00387AF8"/>
    <w:rsid w:val="00412FBE"/>
    <w:rsid w:val="005058C1"/>
    <w:rsid w:val="00517240"/>
    <w:rsid w:val="005C67A2"/>
    <w:rsid w:val="00636708"/>
    <w:rsid w:val="006608D1"/>
    <w:rsid w:val="00690D11"/>
    <w:rsid w:val="00742728"/>
    <w:rsid w:val="008400ED"/>
    <w:rsid w:val="008B29C0"/>
    <w:rsid w:val="008E51D5"/>
    <w:rsid w:val="009717C9"/>
    <w:rsid w:val="00973788"/>
    <w:rsid w:val="00A104E8"/>
    <w:rsid w:val="00A26491"/>
    <w:rsid w:val="00A51C27"/>
    <w:rsid w:val="00A5747C"/>
    <w:rsid w:val="00A662BD"/>
    <w:rsid w:val="00A80623"/>
    <w:rsid w:val="00A91C7D"/>
    <w:rsid w:val="00B0668C"/>
    <w:rsid w:val="00B23D8F"/>
    <w:rsid w:val="00B71BA0"/>
    <w:rsid w:val="00BB23E3"/>
    <w:rsid w:val="00C956CF"/>
    <w:rsid w:val="00C96CBF"/>
    <w:rsid w:val="00CD7AE7"/>
    <w:rsid w:val="00D11AB9"/>
    <w:rsid w:val="00D5548C"/>
    <w:rsid w:val="00D9182F"/>
    <w:rsid w:val="00DF047C"/>
    <w:rsid w:val="00E069AA"/>
    <w:rsid w:val="00E448EE"/>
    <w:rsid w:val="00E75974"/>
    <w:rsid w:val="00E86F6B"/>
    <w:rsid w:val="00F315C7"/>
    <w:rsid w:val="00F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E3"/>
    <w:rPr>
      <w:sz w:val="24"/>
      <w:szCs w:val="24"/>
    </w:rPr>
  </w:style>
  <w:style w:type="paragraph" w:styleId="Heading2">
    <w:name w:val="heading 2"/>
    <w:basedOn w:val="Normal"/>
    <w:qFormat/>
    <w:rsid w:val="00BB23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BB23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B23E3"/>
    <w:rPr>
      <w:color w:val="800080"/>
      <w:u w:val="single"/>
    </w:rPr>
  </w:style>
  <w:style w:type="character" w:customStyle="1" w:styleId="style41">
    <w:name w:val="style41"/>
    <w:basedOn w:val="DefaultParagraphFont"/>
    <w:rsid w:val="00BB23E3"/>
    <w:rPr>
      <w:rFonts w:ascii="Courier New" w:hAnsi="Courier New" w:cs="Courier New" w:hint="default"/>
      <w:color w:val="FFFFFF"/>
    </w:rPr>
  </w:style>
  <w:style w:type="character" w:styleId="Hyperlink">
    <w:name w:val="Hyperlink"/>
    <w:basedOn w:val="DefaultParagraphFont"/>
    <w:rsid w:val="00BB23E3"/>
    <w:rPr>
      <w:color w:val="0000FF"/>
      <w:u w:val="single"/>
    </w:rPr>
  </w:style>
  <w:style w:type="character" w:customStyle="1" w:styleId="style42">
    <w:name w:val="style42"/>
    <w:basedOn w:val="DefaultParagraphFont"/>
    <w:rsid w:val="00BB23E3"/>
    <w:rPr>
      <w:rFonts w:ascii="Courier New" w:hAnsi="Courier New" w:cs="Courier New" w:hint="default"/>
      <w:color w:val="FFFFFF"/>
    </w:rPr>
  </w:style>
  <w:style w:type="character" w:customStyle="1" w:styleId="style91">
    <w:name w:val="style91"/>
    <w:basedOn w:val="DefaultParagraphFont"/>
    <w:rsid w:val="00BB23E3"/>
    <w:rPr>
      <w:b/>
      <w:bCs/>
      <w:color w:val="000000"/>
    </w:rPr>
  </w:style>
  <w:style w:type="character" w:customStyle="1" w:styleId="BalloonTextChar">
    <w:name w:val="Balloon Text Char"/>
    <w:basedOn w:val="DefaultParagraphFont"/>
    <w:link w:val="BalloonText"/>
    <w:rsid w:val="00BB23E3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BB23E3"/>
    <w:pPr>
      <w:tabs>
        <w:tab w:val="center" w:pos="4320"/>
        <w:tab w:val="right" w:pos="8640"/>
      </w:tabs>
    </w:pPr>
  </w:style>
  <w:style w:type="paragraph" w:customStyle="1" w:styleId="style7">
    <w:name w:val="style7"/>
    <w:basedOn w:val="Normal"/>
    <w:rsid w:val="00BB23E3"/>
    <w:pPr>
      <w:spacing w:before="100" w:beforeAutospacing="1" w:after="100" w:afterAutospacing="1"/>
    </w:pPr>
    <w:rPr>
      <w:color w:val="0000FF"/>
    </w:rPr>
  </w:style>
  <w:style w:type="paragraph" w:styleId="NormalWeb">
    <w:name w:val="Normal (Web)"/>
    <w:basedOn w:val="Normal"/>
    <w:rsid w:val="00BB23E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BB23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23E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7AE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7AF8"/>
    <w:rPr>
      <w:sz w:val="24"/>
      <w:szCs w:val="24"/>
    </w:rPr>
  </w:style>
  <w:style w:type="paragraph" w:customStyle="1" w:styleId="Default">
    <w:name w:val="Default"/>
    <w:rsid w:val="00742728"/>
    <w:pPr>
      <w:autoSpaceDE w:val="0"/>
      <w:autoSpaceDN w:val="0"/>
      <w:adjustRightInd w:val="0"/>
    </w:pPr>
    <w:rPr>
      <w:rFonts w:ascii="NHKPF B+ Helvetica" w:hAnsi="NHKPF B+ Helvetica" w:cs="NHKPF B+ Helvetica"/>
      <w:color w:val="000000"/>
      <w:sz w:val="24"/>
      <w:szCs w:val="24"/>
    </w:rPr>
  </w:style>
  <w:style w:type="paragraph" w:customStyle="1" w:styleId="authors1">
    <w:name w:val="authors1"/>
    <w:basedOn w:val="Normal"/>
    <w:rsid w:val="00742728"/>
    <w:pPr>
      <w:spacing w:before="72" w:line="240" w:lineRule="atLeast"/>
      <w:ind w:left="825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E3"/>
    <w:rPr>
      <w:sz w:val="24"/>
      <w:szCs w:val="24"/>
    </w:rPr>
  </w:style>
  <w:style w:type="paragraph" w:styleId="Heading2">
    <w:name w:val="heading 2"/>
    <w:basedOn w:val="Normal"/>
    <w:qFormat/>
    <w:rsid w:val="00BB23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BB23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B23E3"/>
    <w:rPr>
      <w:color w:val="800080"/>
      <w:u w:val="single"/>
    </w:rPr>
  </w:style>
  <w:style w:type="character" w:customStyle="1" w:styleId="style41">
    <w:name w:val="style41"/>
    <w:basedOn w:val="DefaultParagraphFont"/>
    <w:rsid w:val="00BB23E3"/>
    <w:rPr>
      <w:rFonts w:ascii="Courier New" w:hAnsi="Courier New" w:cs="Courier New" w:hint="default"/>
      <w:color w:val="FFFFFF"/>
    </w:rPr>
  </w:style>
  <w:style w:type="character" w:styleId="Hyperlink">
    <w:name w:val="Hyperlink"/>
    <w:basedOn w:val="DefaultParagraphFont"/>
    <w:rsid w:val="00BB23E3"/>
    <w:rPr>
      <w:color w:val="0000FF"/>
      <w:u w:val="single"/>
    </w:rPr>
  </w:style>
  <w:style w:type="character" w:customStyle="1" w:styleId="style42">
    <w:name w:val="style42"/>
    <w:basedOn w:val="DefaultParagraphFont"/>
    <w:rsid w:val="00BB23E3"/>
    <w:rPr>
      <w:rFonts w:ascii="Courier New" w:hAnsi="Courier New" w:cs="Courier New" w:hint="default"/>
      <w:color w:val="FFFFFF"/>
    </w:rPr>
  </w:style>
  <w:style w:type="character" w:customStyle="1" w:styleId="style91">
    <w:name w:val="style91"/>
    <w:basedOn w:val="DefaultParagraphFont"/>
    <w:rsid w:val="00BB23E3"/>
    <w:rPr>
      <w:b/>
      <w:bCs/>
      <w:color w:val="000000"/>
    </w:rPr>
  </w:style>
  <w:style w:type="character" w:customStyle="1" w:styleId="BalloonTextChar">
    <w:name w:val="Balloon Text Char"/>
    <w:basedOn w:val="DefaultParagraphFont"/>
    <w:link w:val="BalloonText"/>
    <w:rsid w:val="00BB23E3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BB23E3"/>
    <w:pPr>
      <w:tabs>
        <w:tab w:val="center" w:pos="4320"/>
        <w:tab w:val="right" w:pos="8640"/>
      </w:tabs>
    </w:pPr>
  </w:style>
  <w:style w:type="paragraph" w:customStyle="1" w:styleId="style7">
    <w:name w:val="style7"/>
    <w:basedOn w:val="Normal"/>
    <w:rsid w:val="00BB23E3"/>
    <w:pPr>
      <w:spacing w:before="100" w:beforeAutospacing="1" w:after="100" w:afterAutospacing="1"/>
    </w:pPr>
    <w:rPr>
      <w:color w:val="0000FF"/>
    </w:rPr>
  </w:style>
  <w:style w:type="paragraph" w:styleId="NormalWeb">
    <w:name w:val="Normal (Web)"/>
    <w:basedOn w:val="Normal"/>
    <w:rsid w:val="00BB23E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BB23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23E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7AE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7AF8"/>
    <w:rPr>
      <w:sz w:val="24"/>
      <w:szCs w:val="24"/>
    </w:rPr>
  </w:style>
  <w:style w:type="paragraph" w:customStyle="1" w:styleId="Default">
    <w:name w:val="Default"/>
    <w:rsid w:val="00742728"/>
    <w:pPr>
      <w:autoSpaceDE w:val="0"/>
      <w:autoSpaceDN w:val="0"/>
      <w:adjustRightInd w:val="0"/>
    </w:pPr>
    <w:rPr>
      <w:rFonts w:ascii="NHKPF B+ Helvetica" w:hAnsi="NHKPF B+ Helvetica" w:cs="NHKPF B+ Helvetica"/>
      <w:color w:val="000000"/>
      <w:sz w:val="24"/>
      <w:szCs w:val="24"/>
    </w:rPr>
  </w:style>
  <w:style w:type="paragraph" w:customStyle="1" w:styleId="authors1">
    <w:name w:val="authors1"/>
    <w:basedOn w:val="Normal"/>
    <w:rsid w:val="00742728"/>
    <w:pPr>
      <w:spacing w:before="72" w:line="240" w:lineRule="atLeast"/>
      <w:ind w:left="825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6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8927219?ordinalpos=2&amp;itool=EntrezSystem2.PEntrez.Pubmed.Pubmed_ResultsPanel.Pubmed_DefaultReportPanel.Pubmed_RVDocS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cbi.nlm.nih.gov/pubmed/18177270?ordinalpos=7&amp;itool=EntrezSystem2.PEntrez.Pubmed.Pubmed_ResultsPanel.Pubmed_DefaultReportPanel.Pubmed_RVDocS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4592951?ordinalpos=27&amp;itool=EntrezSystem2.PEntrez.Pubmed.Pubmed_ResultsPanel.Pubmed_DefaultReportPanel.Pubmed_RVDocSu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Recombinant Adiponectin with Flag Tag (Human)</vt:lpstr>
    </vt:vector>
  </TitlesOfParts>
  <Company>UDM, HKU.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Adiponectin with Flag Tag (Human)</dc:title>
  <dc:creator>AIMIN</dc:creator>
  <cp:lastModifiedBy>Medicine</cp:lastModifiedBy>
  <cp:revision>2</cp:revision>
  <cp:lastPrinted>2017-03-08T10:27:00Z</cp:lastPrinted>
  <dcterms:created xsi:type="dcterms:W3CDTF">2018-08-29T03:02:00Z</dcterms:created>
  <dcterms:modified xsi:type="dcterms:W3CDTF">2018-08-29T03:02:00Z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