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ind w:right="-18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Polyclonal Antibody against Human C-reactive Protein</w:t>
      </w:r>
    </w:p>
    <w:p w:rsidR="00000000" w:rsidDel="00000000" w:rsidP="00000000" w:rsidRDefault="00000000" w:rsidRPr="00000000" w14:paraId="00000003">
      <w:pPr>
        <w:ind w:right="-18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6.0" w:type="dxa"/>
        <w:jc w:val="center"/>
        <w:tblLayout w:type="fixed"/>
        <w:tblLook w:val="0000"/>
      </w:tblPr>
      <w:tblGrid>
        <w:gridCol w:w="1931"/>
        <w:gridCol w:w="3105"/>
        <w:gridCol w:w="1532"/>
        <w:gridCol w:w="2248"/>
        <w:tblGridChange w:id="0">
          <w:tblGrid>
            <w:gridCol w:w="1931"/>
            <w:gridCol w:w="3105"/>
            <w:gridCol w:w="1532"/>
            <w:gridCol w:w="2248"/>
          </w:tblGrid>
        </w:tblGridChange>
      </w:tblGrid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Host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Rabbit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Cat. No.: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11120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Size: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1.5 mg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3"/>
        <w:spacing w:after="0" w:before="0" w:lineRule="auto"/>
        <w:jc w:val="both"/>
        <w:rPr>
          <w:rFonts w:ascii="Verdana" w:cs="Verdana" w:eastAsia="Verdana" w:hAnsi="Verdana"/>
          <w:color w:val="31849b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1849b"/>
          <w:rtl w:val="0"/>
        </w:rPr>
        <w:t xml:space="preserve">Introduction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533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C-reactive protein (CRP) is a circulating protein mainly secreted from the liver. This acute phase protein consists of five identical non-glycosylated subunits of 23 kDa, that give rise to a symmetrically arranged globular protein with molecular weight of approximately 120 kDa.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It has long been recognized that CRP is closely related to immunology, inflammation and host defence, as a result it has been used as an inflammatory marker. There is accumulating evidence suggesting the important role that CRP plays in mediating cardiovascular diseases (CVD) and type 2 diabetes.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2-4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Normally CRP is presenting only in a trace amount in circulation (&lt;1 μg/ml)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5-6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but can increase over 1,000-fold under acute inflammatory state. Individual with blood CRP levels &lt;1 μg/ml, 1-3 μg/ml and &gt;3 μg/ml is considered to have low, moderate and high risk, respectively, of CVD and myocardial infraction.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Therefore, blood CRP level has become a promising measure of CVD risk.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spacing w:after="0" w:before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spacing w:after="0" w:before="0" w:lineRule="auto"/>
        <w:rPr>
          <w:rFonts w:ascii="Verdana" w:cs="Verdana" w:eastAsia="Verdana" w:hAnsi="Verdan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spacing w:after="0" w:before="0" w:lineRule="auto"/>
        <w:jc w:val="both"/>
        <w:rPr>
          <w:rFonts w:ascii="Verdana" w:cs="Verdana" w:eastAsia="Verdana" w:hAnsi="Verdana"/>
          <w:color w:val="31849b"/>
        </w:rPr>
      </w:pPr>
      <w:r w:rsidDel="00000000" w:rsidR="00000000" w:rsidRPr="00000000">
        <w:rPr>
          <w:rFonts w:ascii="Verdana" w:cs="Verdana" w:eastAsia="Verdana" w:hAnsi="Verdana"/>
          <w:color w:val="31849b"/>
          <w:rtl w:val="0"/>
        </w:rPr>
        <w:t xml:space="preserve">Immunogen</w:t>
      </w:r>
    </w:p>
    <w:p w:rsidR="00000000" w:rsidDel="00000000" w:rsidP="00000000" w:rsidRDefault="00000000" w:rsidRPr="00000000" w14:paraId="0000001D">
      <w:pPr>
        <w:ind w:right="-1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Native Human C- reactive Protein (CRP) </w:t>
      </w:r>
    </w:p>
    <w:p w:rsidR="00000000" w:rsidDel="00000000" w:rsidP="00000000" w:rsidRDefault="00000000" w:rsidRPr="00000000" w14:paraId="0000001E">
      <w:pPr>
        <w:pStyle w:val="Heading3"/>
        <w:spacing w:after="0" w:before="0" w:lineRule="auto"/>
        <w:rPr>
          <w:rFonts w:ascii="Verdana" w:cs="Verdana" w:eastAsia="Verdana" w:hAnsi="Verdana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spacing w:after="0" w:before="0" w:lineRule="auto"/>
        <w:rPr>
          <w:rFonts w:ascii="Verdana" w:cs="Verdana" w:eastAsia="Verdana" w:hAnsi="Verdana"/>
          <w:color w:val="31849b"/>
        </w:rPr>
      </w:pPr>
      <w:r w:rsidDel="00000000" w:rsidR="00000000" w:rsidRPr="00000000">
        <w:rPr>
          <w:rFonts w:ascii="Verdana" w:cs="Verdana" w:eastAsia="Verdana" w:hAnsi="Verdana"/>
          <w:color w:val="31849b"/>
          <w:rtl w:val="0"/>
        </w:rPr>
        <w:t xml:space="preserve">Preperation</w:t>
      </w:r>
    </w:p>
    <w:p w:rsidR="00000000" w:rsidDel="00000000" w:rsidP="00000000" w:rsidRDefault="00000000" w:rsidRPr="00000000" w14:paraId="00000020">
      <w:pPr>
        <w:ind w:right="-180"/>
        <w:jc w:val="both"/>
        <w:rPr>
          <w:rFonts w:ascii="Verdana" w:cs="Verdana" w:eastAsia="Verdana" w:hAnsi="Verdana"/>
          <w:color w:val="31849b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Rabbit IgG was purified by protein-G column.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spacing w:after="0" w:before="0" w:lineRule="auto"/>
        <w:rPr>
          <w:rFonts w:ascii="Verdana" w:cs="Verdana" w:eastAsia="Verdana" w:hAnsi="Verdana"/>
          <w:color w:val="31849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spacing w:after="0" w:before="0" w:lineRule="auto"/>
        <w:rPr>
          <w:rFonts w:ascii="Verdana" w:cs="Verdana" w:eastAsia="Verdana" w:hAnsi="Verdana"/>
          <w:color w:val="31849b"/>
        </w:rPr>
      </w:pPr>
      <w:r w:rsidDel="00000000" w:rsidR="00000000" w:rsidRPr="00000000">
        <w:rPr>
          <w:rFonts w:ascii="Verdana" w:cs="Verdana" w:eastAsia="Verdana" w:hAnsi="Verdana"/>
          <w:color w:val="31849b"/>
          <w:rtl w:val="0"/>
        </w:rPr>
        <w:t xml:space="preserve">Applications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Standard ELISA, Immunoturbidimetric assay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b w:val="1"/>
          <w:color w:val="31849b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1849b"/>
          <w:sz w:val="27"/>
          <w:szCs w:val="27"/>
          <w:rtl w:val="0"/>
        </w:rPr>
        <w:t xml:space="preserve">Formulation</w:t>
      </w:r>
    </w:p>
    <w:p w:rsidR="00000000" w:rsidDel="00000000" w:rsidP="00000000" w:rsidRDefault="00000000" w:rsidRPr="00000000" w14:paraId="00000026">
      <w:pPr>
        <w:ind w:right="-1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Solution in PBS.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b w:val="1"/>
          <w:color w:val="31849b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1849b"/>
          <w:sz w:val="27"/>
          <w:szCs w:val="27"/>
          <w:rtl w:val="0"/>
        </w:rPr>
        <w:t xml:space="preserve">Specificity</w:t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antibody detects human CRP.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1"/>
          <w:color w:val="31849b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1"/>
          <w:color w:val="31849b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b w:val="1"/>
          <w:color w:val="31849b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1"/>
          <w:color w:val="31849b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1849b"/>
          <w:sz w:val="27"/>
          <w:szCs w:val="27"/>
          <w:rtl w:val="0"/>
        </w:rPr>
        <w:t xml:space="preserve">Storage</w:t>
      </w:r>
    </w:p>
    <w:p w:rsidR="00000000" w:rsidDel="00000000" w:rsidP="00000000" w:rsidRDefault="00000000" w:rsidRPr="00000000" w14:paraId="0000002E">
      <w:pPr>
        <w:ind w:right="-1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Store at –20°C. For long-term storage, aliquot and freeze at -70°C. Avoid repeated freeze/defrost cycles.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after="0" w:before="0" w:lineRule="auto"/>
        <w:rPr>
          <w:rFonts w:ascii="Verdana" w:cs="Verdana" w:eastAsia="Verdana" w:hAnsi="Verdana"/>
          <w:color w:val="31849b"/>
        </w:rPr>
      </w:pPr>
      <w:r w:rsidDel="00000000" w:rsidR="00000000" w:rsidRPr="00000000">
        <w:rPr>
          <w:rFonts w:ascii="Verdana" w:cs="Verdana" w:eastAsia="Verdana" w:hAnsi="Verdana"/>
          <w:color w:val="31849b"/>
          <w:rtl w:val="0"/>
        </w:rPr>
        <w:t xml:space="preserve">References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right="533" w:firstLine="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Thompson D., Pepys M.B. and Wood S.P. (1999)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Structure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169-177.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right="533" w:firstLine="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Festa A, D’Agostino R. Jr., Tracy R.P. and Haffner S.M. (2002)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Diabetes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51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       1131-1137.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right="533" w:firstLine="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Verma S. and Yeh E.T. (2003)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Am J Physiol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285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R1253-R1258.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right="533" w:firstLine="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Jialal I., Devaraj S. and Venugopal S.K. (2004)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Hypertension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44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6-11.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firstLine="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Kindmark C.O. (1972)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Scand J Clin Lab Invest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29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407-411.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firstLine="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Macy E.M., Hayes T.E. and Tracy R.P. (1997)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Clin Chem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43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52-58.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firstLine="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Ridker P.M. (2004)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Am Heart Hosp J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 (4 Suppl 1)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4-9.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firstLine="0"/>
        <w:jc w:val="both"/>
        <w:rPr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Benzaquen l.R., Yu H. and Rifai N. (2002)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Crit Rev Clin Lab Sci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39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459-497.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pos="360"/>
          <w:tab w:val="left" w:pos="540"/>
          <w:tab w:val="left" w:pos="630"/>
        </w:tabs>
        <w:ind w:left="360" w:firstLine="0"/>
        <w:jc w:val="both"/>
        <w:rPr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Pearson T.A. et al., (2003)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Circulation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107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499-511.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Style w:val="Heading3"/>
        <w:spacing w:after="0" w:before="0" w:lineRule="auto"/>
        <w:rPr>
          <w:rFonts w:ascii="Verdana" w:cs="Verdana" w:eastAsia="Verdana" w:hAnsi="Verdana"/>
          <w:color w:val="0000ff"/>
          <w:sz w:val="24"/>
          <w:szCs w:val="24"/>
        </w:rPr>
        <w:sectPr>
          <w:headerReference r:id="rId7" w:type="default"/>
          <w:footerReference r:id="rId8" w:type="default"/>
          <w:pgSz w:h="15840" w:w="12240"/>
          <w:pgMar w:bottom="1440" w:top="1977" w:left="1800" w:right="1800" w:header="540" w:footer="1041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spacing w:after="0" w:before="0" w:lineRule="auto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spacing w:after="0" w:before="0" w:lineRule="auto"/>
        <w:rPr>
          <w:rFonts w:ascii="Verdana" w:cs="Verdana" w:eastAsia="Verdana" w:hAnsi="Verdana"/>
          <w:color w:val="31849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spacing w:after="0" w:before="0" w:lineRule="auto"/>
        <w:rPr>
          <w:rFonts w:ascii="Verdana" w:cs="Verdana" w:eastAsia="Verdana" w:hAnsi="Verdana"/>
          <w:color w:val="31849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6901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6901"/>
        </w:tabs>
        <w:jc w:val="center"/>
        <w:rPr>
          <w:rFonts w:ascii="Verdana" w:cs="Verdana" w:eastAsia="Verdana" w:hAnsi="Verdana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6901"/>
        </w:tabs>
        <w:jc w:val="center"/>
        <w:rPr>
          <w:rFonts w:ascii="Verdana" w:cs="Verdana" w:eastAsia="Verdana" w:hAnsi="Verdana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6901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 Website: www.immunodiagnostics.com.hk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 E-mail: info@immunodiagnostics.com.hk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 Tel: (+852) 2831 5526; 2831 5508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b w:val="1"/>
          <w:color w:val="0000ff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 Fax: (+852) 2816 2095 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977" w:left="1800" w:right="1800" w:header="540" w:footer="104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86400" cy="375505"/>
          <wp:effectExtent b="0" l="0" r="0" t="0"/>
          <wp:docPr descr="C:\Users\user\Desktop\图片3.png" id="31" name="image2.png"/>
          <a:graphic>
            <a:graphicData uri="http://schemas.openxmlformats.org/drawingml/2006/picture">
              <pic:pic>
                <pic:nvPicPr>
                  <pic:cNvPr descr="C:\Users\user\Desktop\图片3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375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07503" cy="382122"/>
          <wp:effectExtent b="0" l="0" r="0" t="0"/>
          <wp:docPr descr="F:\Courseware\A.I.S\ImmunoDiagnostics Limited\Catagory Design\LOGO1.png" id="30" name="image1.png"/>
          <a:graphic>
            <a:graphicData uri="http://schemas.openxmlformats.org/drawingml/2006/picture">
              <pic:pic>
                <pic:nvPicPr>
                  <pic:cNvPr descr="F:\Courseware\A.I.S\ImmunoDiagnostics Limited\Catagory Design\LOGO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7503" cy="3821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31849b"/>
        <w:sz w:val="32"/>
        <w:szCs w:val="32"/>
        <w:u w:val="none"/>
        <w:shd w:fill="auto" w:val="clear"/>
        <w:vertAlign w:val="baseline"/>
        <w:rtl w:val="0"/>
      </w:rPr>
      <w:t xml:space="preserve">ImmunoDiagnostics Limited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Product Datasheet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76200</wp:posOffset>
              </wp:positionV>
              <wp:extent cx="5509895" cy="6350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06928" y="3780000"/>
                        <a:ext cx="5478145" cy="0"/>
                      </a:xfrm>
                      <a:custGeom>
                        <a:rect b="b" l="l" r="r" t="t"/>
                        <a:pathLst>
                          <a:path extrusionOk="0" h="1" w="5478145">
                            <a:moveTo>
                              <a:pt x="0" y="0"/>
                            </a:moveTo>
                            <a:lnTo>
                              <a:pt x="547814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31750">
                        <a:solidFill>
                          <a:srgbClr val="31849B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76200</wp:posOffset>
              </wp:positionV>
              <wp:extent cx="5509895" cy="63500"/>
              <wp:effectExtent b="0" l="0" r="0" t="0"/>
              <wp:wrapNone/>
              <wp:docPr id="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9895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8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B23E3"/>
    <w:rPr>
      <w:sz w:val="24"/>
      <w:szCs w:val="24"/>
    </w:rPr>
  </w:style>
  <w:style w:type="paragraph" w:styleId="2">
    <w:name w:val="heading 2"/>
    <w:basedOn w:val="a"/>
    <w:qFormat w:val="1"/>
    <w:rsid w:val="00BB23E3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paragraph" w:styleId="3">
    <w:name w:val="heading 3"/>
    <w:basedOn w:val="a"/>
    <w:link w:val="30"/>
    <w:qFormat w:val="1"/>
    <w:rsid w:val="00BB23E3"/>
    <w:pPr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FollowedHyperlink"/>
    <w:basedOn w:val="a0"/>
    <w:rsid w:val="00BB23E3"/>
    <w:rPr>
      <w:color w:val="800080"/>
      <w:u w:val="single"/>
    </w:rPr>
  </w:style>
  <w:style w:type="character" w:styleId="style41" w:customStyle="1">
    <w:name w:val="style41"/>
    <w:basedOn w:val="a0"/>
    <w:rsid w:val="00BB23E3"/>
    <w:rPr>
      <w:rFonts w:ascii="Courier New" w:cs="Courier New" w:hAnsi="Courier New" w:hint="default"/>
      <w:color w:val="ffffff"/>
    </w:rPr>
  </w:style>
  <w:style w:type="character" w:styleId="a4">
    <w:name w:val="Hyperlink"/>
    <w:basedOn w:val="a0"/>
    <w:rsid w:val="00BB23E3"/>
    <w:rPr>
      <w:color w:val="0000ff"/>
      <w:u w:val="single"/>
    </w:rPr>
  </w:style>
  <w:style w:type="character" w:styleId="style42" w:customStyle="1">
    <w:name w:val="style42"/>
    <w:basedOn w:val="a0"/>
    <w:rsid w:val="00BB23E3"/>
    <w:rPr>
      <w:rFonts w:ascii="Courier New" w:cs="Courier New" w:hAnsi="Courier New" w:hint="default"/>
      <w:color w:val="ffffff"/>
    </w:rPr>
  </w:style>
  <w:style w:type="character" w:styleId="style91" w:customStyle="1">
    <w:name w:val="style91"/>
    <w:basedOn w:val="a0"/>
    <w:rsid w:val="00BB23E3"/>
    <w:rPr>
      <w:b w:val="1"/>
      <w:bCs w:val="1"/>
      <w:color w:val="000000"/>
    </w:rPr>
  </w:style>
  <w:style w:type="character" w:styleId="a5" w:customStyle="1">
    <w:name w:val="註解方塊文字 字元"/>
    <w:basedOn w:val="a0"/>
    <w:link w:val="a6"/>
    <w:rsid w:val="00BB23E3"/>
    <w:rPr>
      <w:rFonts w:ascii="Tahoma" w:cs="Tahoma" w:hAnsi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BB23E3"/>
    <w:pPr>
      <w:tabs>
        <w:tab w:val="center" w:pos="4320"/>
        <w:tab w:val="right" w:pos="8640"/>
      </w:tabs>
    </w:pPr>
  </w:style>
  <w:style w:type="paragraph" w:styleId="style7" w:customStyle="1">
    <w:name w:val="style7"/>
    <w:basedOn w:val="a"/>
    <w:rsid w:val="00BB23E3"/>
    <w:pPr>
      <w:spacing w:after="100" w:afterAutospacing="1" w:before="100" w:beforeAutospacing="1"/>
    </w:pPr>
    <w:rPr>
      <w:color w:val="0000ff"/>
    </w:rPr>
  </w:style>
  <w:style w:type="paragraph" w:styleId="Web">
    <w:name w:val="Normal (Web)"/>
    <w:basedOn w:val="a"/>
    <w:uiPriority w:val="99"/>
    <w:rsid w:val="00BB23E3"/>
    <w:pPr>
      <w:spacing w:after="100" w:afterAutospacing="1" w:before="100" w:beforeAutospacing="1"/>
    </w:pPr>
  </w:style>
  <w:style w:type="paragraph" w:styleId="a9">
    <w:name w:val="footer"/>
    <w:basedOn w:val="a"/>
    <w:link w:val="aa"/>
    <w:uiPriority w:val="99"/>
    <w:rsid w:val="00BB23E3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5"/>
    <w:rsid w:val="00BB23E3"/>
    <w:rPr>
      <w:rFonts w:ascii="Tahoma" w:cs="Tahoma" w:hAnsi="Tahoma"/>
      <w:sz w:val="16"/>
      <w:szCs w:val="16"/>
    </w:rPr>
  </w:style>
  <w:style w:type="character" w:styleId="aa" w:customStyle="1">
    <w:name w:val="頁尾 字元"/>
    <w:basedOn w:val="a0"/>
    <w:link w:val="a9"/>
    <w:uiPriority w:val="99"/>
    <w:rsid w:val="000563C9"/>
    <w:rPr>
      <w:sz w:val="24"/>
      <w:szCs w:val="24"/>
    </w:rPr>
  </w:style>
  <w:style w:type="character" w:styleId="a8" w:customStyle="1">
    <w:name w:val="頁首 字元"/>
    <w:basedOn w:val="a0"/>
    <w:link w:val="a7"/>
    <w:uiPriority w:val="99"/>
    <w:rsid w:val="00B03DF1"/>
    <w:rPr>
      <w:sz w:val="24"/>
      <w:szCs w:val="24"/>
    </w:rPr>
  </w:style>
  <w:style w:type="character" w:styleId="apple-converted-space" w:customStyle="1">
    <w:name w:val="apple-converted-space"/>
    <w:basedOn w:val="a0"/>
    <w:rsid w:val="00614A4B"/>
  </w:style>
  <w:style w:type="character" w:styleId="30" w:customStyle="1">
    <w:name w:val="標題 3 字元"/>
    <w:basedOn w:val="a0"/>
    <w:link w:val="3"/>
    <w:rsid w:val="002F75EE"/>
    <w:rPr>
      <w:b w:val="1"/>
      <w:bCs w:val="1"/>
      <w:sz w:val="27"/>
      <w:szCs w:val="2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9ogbYFtOgwnDrRoyVvKbKIkv5g==">AMUW2mX0vp7qUrY7w4ZljshGQud1QL4F3h3Eh4884WTsAdmIccF1DWy1FMXcxMMifxzEelWEpydAcBItj8GGEkqAih3Wo1De9n5unbmEOXmb35bsWNZTlp8=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2019-04-08T04:35:00Z</dcterms:created>
  <dc:creator>AIMIN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