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EF4F5" w14:textId="3C32D6DE" w:rsidR="0079274C" w:rsidRDefault="0079274C" w:rsidP="0079274C">
      <w:pPr>
        <w:pStyle w:val="Heading1"/>
        <w:bidi/>
        <w:rPr>
          <w:rtl/>
        </w:rPr>
      </w:pPr>
      <w:r>
        <w:rPr>
          <w:rFonts w:hint="cs"/>
          <w:rtl/>
        </w:rPr>
        <w:t>בענין הדלקת נרות לשבת ויו"ט2-אם מברכין על הדלקת נר שבת ויו"ט</w:t>
      </w:r>
    </w:p>
    <w:p w14:paraId="7A73F33E" w14:textId="4D4794A6" w:rsidR="0079274C" w:rsidRDefault="0079274C" w:rsidP="0079274C">
      <w:pPr>
        <w:bidi/>
        <w:rPr>
          <w:rtl/>
        </w:rPr>
      </w:pPr>
    </w:p>
    <w:p w14:paraId="4E1E7959" w14:textId="465BBCD4" w:rsidR="0079274C" w:rsidRDefault="0079274C" w:rsidP="0079274C">
      <w:pPr>
        <w:pStyle w:val="ListParagraph"/>
        <w:numPr>
          <w:ilvl w:val="0"/>
          <w:numId w:val="1"/>
        </w:numPr>
        <w:bidi/>
      </w:pPr>
      <w:r>
        <w:rPr>
          <w:rFonts w:hint="cs"/>
          <w:rtl/>
        </w:rPr>
        <w:t>כבר הבאנו המחלוקת בין תוס', להתוס' הרא"ש, דלפי תוס', כ"ע סברי דיש חיוב הדלקת נרות משום 'כבוד שבת', וכל המחלוקת בין אביי ורבא, [וכן בין החכמים לרבי ישמעאל] הוא אם יש חיוב הדלקה מצד 'עונג שבת', דהיינו אם יש חיוב לישב ולאכול אצל הנרות. ולפי התוס' הרא"ש, אביי סובר דאין שום חיוב בהדלקה, [והא דקתני על שאינן זהירות בנר היינו דאינן זהירות ומדליקות אחר שקיעה ובאין לידי ספק חילול שבת] ולרבא יש חיוב הדלקה, והדלקת נר שבת חובה.</w:t>
      </w:r>
    </w:p>
    <w:p w14:paraId="4867E8FB" w14:textId="736DBC44" w:rsidR="0079274C" w:rsidRDefault="0079274C" w:rsidP="0079274C">
      <w:pPr>
        <w:pStyle w:val="ListParagraph"/>
        <w:numPr>
          <w:ilvl w:val="0"/>
          <w:numId w:val="1"/>
        </w:numPr>
        <w:bidi/>
      </w:pPr>
      <w:r>
        <w:rPr>
          <w:rFonts w:hint="cs"/>
          <w:rtl/>
        </w:rPr>
        <w:t>ע' תוס' שבת כה: ד"ה חובה</w:t>
      </w:r>
      <w:r w:rsidR="00337691">
        <w:rPr>
          <w:rFonts w:hint="cs"/>
          <w:rtl/>
        </w:rPr>
        <w:t>-"</w:t>
      </w:r>
      <w:r w:rsidR="00337691" w:rsidRPr="00337691">
        <w:rPr>
          <w:rFonts w:hint="cs"/>
          <w:b/>
          <w:bCs/>
          <w:rtl/>
        </w:rPr>
        <w:t>ויש שרוצים לומר דאין לברך אהדלקת נר מדקרי ליה חובה כדאמרינן מים אחרונים חובה ואין טעונין ברכה ואומר ר"ת דשיבוש הוא דלא דמי למים אחרונים דלא הוי אלא להצלה בעלמא אבל הדלקת נר היא חובה של מצות עונג שבת וכמה חובות הן דטעונין ברכה"</w:t>
      </w:r>
    </w:p>
    <w:p w14:paraId="3AD3001D" w14:textId="3B198154" w:rsidR="00337691" w:rsidRDefault="00337691" w:rsidP="00337691">
      <w:pPr>
        <w:pStyle w:val="ListParagraph"/>
        <w:numPr>
          <w:ilvl w:val="0"/>
          <w:numId w:val="1"/>
        </w:numPr>
        <w:bidi/>
      </w:pPr>
      <w:r>
        <w:rPr>
          <w:rFonts w:hint="cs"/>
          <w:rtl/>
        </w:rPr>
        <w:t xml:space="preserve">והקשה הבית הלוי ח"א ס' י"א </w:t>
      </w:r>
      <w:r>
        <w:rPr>
          <w:rtl/>
        </w:rPr>
        <w:t>–</w:t>
      </w:r>
      <w:r>
        <w:rPr>
          <w:rFonts w:hint="cs"/>
          <w:rtl/>
        </w:rPr>
        <w:t xml:space="preserve"> על היש שרוצים לומר, דאפילו אם נדייק דלשון 'חובה' משמע דהוי חובה ולא מצוה, ואין מברכין עליו, הלא כבר כתב תוס' לעיל דאפילו לאביי יש חיוב הדלקה מצד כבוד שבת- ועל זה מוסיף רבא דיש 'חובה' להדליק אצל הסעודה, ועל זה קאי לשון חובה. ממילא על חיוב עונג דהוא החיוב להדליק אצל סעודה, אה"נ דאין מברכין עליו, אבל על העיקר חיוב דחייב גם לאביי, משום כבוד שבת, אולי צריך לברוכי וע"ש דכתב דבאמת יותר מסתברא לברך מצד כבוד יותר מצד עונג ע"ש.</w:t>
      </w:r>
    </w:p>
    <w:p w14:paraId="5C8349C2" w14:textId="6A6F7FB9" w:rsidR="0056358E" w:rsidRDefault="0056358E" w:rsidP="0056358E">
      <w:pPr>
        <w:pStyle w:val="ListParagraph"/>
        <w:numPr>
          <w:ilvl w:val="0"/>
          <w:numId w:val="1"/>
        </w:numPr>
        <w:bidi/>
      </w:pPr>
      <w:r>
        <w:rPr>
          <w:rFonts w:hint="cs"/>
          <w:rtl/>
        </w:rPr>
        <w:t>ולכאורה יש ליישב קושיותו בפשיטות, דהיש שרוצים לומר סברי כהתוס' הרא"ש דבאמת ליכא שום חיוב קודם, וכל החיוב הוא מצד סוגיא דידן דקרי ליה 'חובה', ושפיר י"ל דהוא בגדר חובה ולא מצוה, ולא מברכין עליה, ודו"ק. ותוס' לעיל דכתב דבאמת הוי מצוה קודם להסוגיא באמת חולק וסברי דמברכין</w:t>
      </w:r>
    </w:p>
    <w:p w14:paraId="256F9C00" w14:textId="357F0A98" w:rsidR="0056358E" w:rsidRDefault="0056358E" w:rsidP="0056358E">
      <w:pPr>
        <w:pStyle w:val="ListParagraph"/>
        <w:numPr>
          <w:ilvl w:val="0"/>
          <w:numId w:val="1"/>
        </w:numPr>
        <w:bidi/>
      </w:pPr>
      <w:r>
        <w:rPr>
          <w:rFonts w:hint="cs"/>
          <w:rtl/>
        </w:rPr>
        <w:t>והמשיך התוס' שם -</w:t>
      </w:r>
      <w:r w:rsidRPr="0056358E">
        <w:rPr>
          <w:rFonts w:hint="cs"/>
          <w:b/>
          <w:bCs/>
          <w:rtl/>
        </w:rPr>
        <w:t>ומה שאומרים טעם אחר שלא לברך משום שאם היתה מודלקת ועומדת לא היה צריך לכבותה ולחזור ולהדליקה ולא להדל</w:t>
      </w:r>
      <w:r>
        <w:rPr>
          <w:rFonts w:hint="cs"/>
          <w:b/>
          <w:bCs/>
          <w:rtl/>
        </w:rPr>
        <w:t>י</w:t>
      </w:r>
      <w:r w:rsidRPr="0056358E">
        <w:rPr>
          <w:rFonts w:hint="cs"/>
          <w:b/>
          <w:bCs/>
          <w:rtl/>
        </w:rPr>
        <w:t>ק אחרת אין נראה דהא גבי כיסוי הדם אם כסהו הרוח פטור מלכסותו אפ"ה כשמכסה צריך לברך וכן נולד מהול איכא למ"ד דאין צריך להטיף ממנו דם ברית וכשמל תניא בשילהי פרק ר' אליעזר דמילה המל אומר כו'</w:t>
      </w:r>
    </w:p>
    <w:p w14:paraId="6CE545E4" w14:textId="0C888867" w:rsidR="0056358E" w:rsidRDefault="0056358E" w:rsidP="0056358E">
      <w:pPr>
        <w:pStyle w:val="ListParagraph"/>
        <w:numPr>
          <w:ilvl w:val="0"/>
          <w:numId w:val="1"/>
        </w:numPr>
        <w:bidi/>
      </w:pPr>
      <w:r>
        <w:rPr>
          <w:rFonts w:hint="cs"/>
          <w:rtl/>
        </w:rPr>
        <w:t>וע' קהלות יעקב שבת סימן כ' דהביא דוגמא להיש שרוצי</w:t>
      </w:r>
      <w:r w:rsidR="008E4F50">
        <w:rPr>
          <w:rFonts w:hint="cs"/>
          <w:rtl/>
        </w:rPr>
        <w:t>ם לומר, מסוגיא דמכות דף ח' אם יש חטיבת עצים דמצוה- והקשה הגמרא דאימא דקרא איירי בחטיבת עצים דסוכה, דיש חיוב לחטוב עצים כדי לבנות סוכה- ודחה הגמרא כיון דאם מצא חטוב אין מצוה לחזור ולחטוב, אפילו באופן דבאמת צריך לחטוב כדי לבנות סוכה לא חשיב החטיבה מצוה. [לאפוקי קצירת השעורים לעומר, דאם מצא קצור צריך לחזור ולקצור, דהתם ודאי נחשב הקצירה למצוה ע"ש].</w:t>
      </w:r>
    </w:p>
    <w:p w14:paraId="6CE5971B" w14:textId="77EE7E6F" w:rsidR="008E4F50" w:rsidRDefault="008E4F50" w:rsidP="008E4F50">
      <w:pPr>
        <w:pStyle w:val="ListParagraph"/>
        <w:numPr>
          <w:ilvl w:val="0"/>
          <w:numId w:val="1"/>
        </w:numPr>
        <w:bidi/>
      </w:pPr>
      <w:r>
        <w:rPr>
          <w:rFonts w:hint="cs"/>
          <w:rtl/>
        </w:rPr>
        <w:t>ותוס' הקשה דלא אמרינן כלל זה לגמרי, דהלא גבי כיסיו הדם אע"פ דמכוסה בעפר ממילא אין צריך לחזור ולגלותו כדי לכסותו, עדיין נחשב מצוה כשמכסין אותו ומברכין עליו. וצ"ב אימת אמרינן כלל זה, ואימת לא אמרינן כלל זה.</w:t>
      </w:r>
    </w:p>
    <w:p w14:paraId="13755AAB" w14:textId="7411C882" w:rsidR="008E4F50" w:rsidRDefault="008E4F50" w:rsidP="008E4F50">
      <w:pPr>
        <w:pStyle w:val="ListParagraph"/>
        <w:numPr>
          <w:ilvl w:val="0"/>
          <w:numId w:val="1"/>
        </w:numPr>
        <w:bidi/>
      </w:pPr>
      <w:r>
        <w:rPr>
          <w:rFonts w:hint="cs"/>
          <w:rtl/>
        </w:rPr>
        <w:t>וע' קהילות יעקב דמחלק, דאם המצוה 'גמר', דהיינו דהוא מצוה מצד עצמה, נחשב למצוה אפילו באופן דפעמים פטור ממנו. וממילא גבי כיסוי הדם חייב לכסות, ולברוכי, אע"פ שפעמים פטור באופן דכבר מכוסה. אבל חטיבת עצים לסוכה, ודאי העיקר הוא הבנין של סוכה, והחטיבה רק 'היכי תמצא' לבנות, ושם אמרינן כיון דבעצם לא צריך לחטוב, לא נחשב החטיבה למצוה אלא להכשר מצוה בעלמא.</w:t>
      </w:r>
    </w:p>
    <w:p w14:paraId="69462094" w14:textId="08F877E2" w:rsidR="008E4F50" w:rsidRDefault="008E4F50" w:rsidP="008E4F50">
      <w:pPr>
        <w:pStyle w:val="ListParagraph"/>
        <w:numPr>
          <w:ilvl w:val="0"/>
          <w:numId w:val="1"/>
        </w:numPr>
        <w:bidi/>
      </w:pPr>
      <w:r>
        <w:rPr>
          <w:rFonts w:hint="cs"/>
          <w:rtl/>
        </w:rPr>
        <w:t>ועל זה נחלקו התוס' והיש שרוצים לומר, דהתוס' סברי דהדלקה נחשב גוף המצוה, משום כבוד ועונג, וממילא באופן שמדליקין, מברכין, אע"פ דבאופן דכבר הודלק ליכא מה להדליק, דומיא דכיסוי הדם, והיש שרוצין לומר סברי דכל ההדלקה הוא כעין 'הכשר מצוה', כדי שיהא אור במושבותם, וכיון דאם מצא דלוק אין צריך להדליק מוכח דרק הכשר מצוה.</w:t>
      </w:r>
    </w:p>
    <w:p w14:paraId="3F1BC862" w14:textId="600C6EBC" w:rsidR="008E4F50" w:rsidRDefault="00D61EA6" w:rsidP="008E4F50">
      <w:pPr>
        <w:pStyle w:val="ListParagraph"/>
        <w:numPr>
          <w:ilvl w:val="0"/>
          <w:numId w:val="1"/>
        </w:numPr>
        <w:bidi/>
      </w:pPr>
      <w:r>
        <w:rPr>
          <w:rFonts w:hint="cs"/>
          <w:rtl/>
        </w:rPr>
        <w:t xml:space="preserve">והמשיך תוס' </w:t>
      </w:r>
      <w:r w:rsidRPr="00D61EA6">
        <w:rPr>
          <w:rFonts w:hint="cs"/>
          <w:b/>
          <w:bCs/>
          <w:rtl/>
        </w:rPr>
        <w:t xml:space="preserve">ועוד נראה לר"ת שאם היה הנר מודלק ועומד שצריך לכבות ולחזור ולהדליק כדאמר ובלבד שלא יקדים </w:t>
      </w:r>
      <w:r>
        <w:rPr>
          <w:rtl/>
        </w:rPr>
        <w:t>–</w:t>
      </w:r>
      <w:r>
        <w:rPr>
          <w:rFonts w:hint="cs"/>
          <w:rtl/>
        </w:rPr>
        <w:t xml:space="preserve"> כלומר דחזינן דיש מצוה מיוחדת שתהא ניכר שהודלק לכבוד שבת. וע' שפת אמת דכתב דאולי לומדים היש שרוצים לומר דזה קאי על נר חנוכה כמו שכתב המאירי ע"ש.</w:t>
      </w:r>
    </w:p>
    <w:p w14:paraId="580115AF" w14:textId="63AECE11" w:rsidR="00DA1821" w:rsidRDefault="00DA1821" w:rsidP="00DA1821">
      <w:pPr>
        <w:pStyle w:val="ListParagraph"/>
        <w:numPr>
          <w:ilvl w:val="0"/>
          <w:numId w:val="1"/>
        </w:numPr>
        <w:bidi/>
      </w:pPr>
      <w:r>
        <w:rPr>
          <w:rFonts w:hint="cs"/>
          <w:rtl/>
        </w:rPr>
        <w:t>ע' מרדכי מס' יומא ס' תשכח דאפילו להשיטות דאין מדליקין ביו"כ, כשחל בשבת מדליקין אבל אין מברכין כיון דליכא סעודה. ומבואר דלומדים הסוגיא כתוס' הרא"ש דרק חייב משום עונג, וליכא חיוב מצד כבוד.</w:t>
      </w:r>
    </w:p>
    <w:p w14:paraId="4424478E" w14:textId="6A82C2CF" w:rsidR="00DA1821" w:rsidRPr="0056358E" w:rsidRDefault="00DA1821" w:rsidP="00DA1821">
      <w:pPr>
        <w:pStyle w:val="ListParagraph"/>
        <w:numPr>
          <w:ilvl w:val="0"/>
          <w:numId w:val="1"/>
        </w:numPr>
        <w:bidi/>
        <w:rPr>
          <w:rFonts w:hint="cs"/>
          <w:rtl/>
        </w:rPr>
      </w:pPr>
      <w:r>
        <w:rPr>
          <w:rFonts w:hint="cs"/>
          <w:rtl/>
        </w:rPr>
        <w:t>וע' רא"ש יומא פ"ח ס' כז, דהעיקר הוא להדליק בכל יו"כ, אפילו כשחל בחול, ומברכין משום שלום בית. וגם זה מתאים עם התוס' הרא"ש, דכל חיוב הוא מצד שלום בית דהוא מדין עונג, אפילו בלא סעודה.</w:t>
      </w:r>
      <w:bookmarkStart w:id="0" w:name="_GoBack"/>
      <w:bookmarkEnd w:id="0"/>
    </w:p>
    <w:sectPr w:rsidR="00DA1821" w:rsidRPr="005635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C201CD"/>
    <w:multiLevelType w:val="hybridMultilevel"/>
    <w:tmpl w:val="89B80200"/>
    <w:lvl w:ilvl="0" w:tplc="2D3CB97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74C"/>
    <w:rsid w:val="00337691"/>
    <w:rsid w:val="0056358E"/>
    <w:rsid w:val="0079274C"/>
    <w:rsid w:val="008E4F50"/>
    <w:rsid w:val="00D61EA6"/>
    <w:rsid w:val="00DA18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90F06"/>
  <w15:chartTrackingRefBased/>
  <w15:docId w15:val="{82B3140B-D805-40E6-B493-982AEDD4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7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74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92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Yonah Burr</dc:creator>
  <cp:keywords/>
  <dc:description/>
  <cp:lastModifiedBy>Yonah Burr</cp:lastModifiedBy>
  <cp:revision>2</cp:revision>
  <dcterms:created xsi:type="dcterms:W3CDTF">2019-11-04T03:32:00Z</dcterms:created>
  <dcterms:modified xsi:type="dcterms:W3CDTF">2019-11-04T04:31:00Z</dcterms:modified>
</cp:coreProperties>
</file>