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3A" w:rsidRDefault="00B87A3A" w:rsidP="00143C65">
      <w:pPr>
        <w:pStyle w:val="Heading1"/>
        <w:bidi/>
        <w:rPr>
          <w:rtl/>
        </w:rPr>
      </w:pPr>
      <w:r>
        <w:rPr>
          <w:rFonts w:hint="cs"/>
          <w:rtl/>
        </w:rPr>
        <w:t xml:space="preserve">ברכת </w:t>
      </w:r>
      <w:r w:rsidR="00ED19AF">
        <w:rPr>
          <w:rFonts w:hint="cs"/>
          <w:rtl/>
        </w:rPr>
        <w:t>ה</w:t>
      </w:r>
      <w:r>
        <w:rPr>
          <w:rFonts w:hint="cs"/>
          <w:rtl/>
        </w:rPr>
        <w:t xml:space="preserve">נהנין </w:t>
      </w:r>
      <w:r>
        <w:rPr>
          <w:rFonts w:cstheme="minorBidi"/>
          <w:rtl/>
        </w:rPr>
        <w:t>–</w:t>
      </w:r>
      <w:r>
        <w:rPr>
          <w:rFonts w:hint="cs"/>
          <w:rtl/>
        </w:rPr>
        <w:t xml:space="preserve"> מה המחייב?</w:t>
      </w:r>
    </w:p>
    <w:p w:rsidR="00B87A3A" w:rsidRDefault="00B87A3A" w:rsidP="00B87A3A">
      <w:pPr>
        <w:pStyle w:val="ListParagraph"/>
        <w:numPr>
          <w:ilvl w:val="0"/>
          <w:numId w:val="1"/>
        </w:numPr>
        <w:bidi/>
      </w:pPr>
      <w:r>
        <w:rPr>
          <w:rFonts w:hint="cs"/>
          <w:rtl/>
        </w:rPr>
        <w:t>ברכות ל"ה. כיצד מברכין על הפירות על פירות האילן הוא אומר בורא פרי העץ חוץ מן היין שעל היין הוא אומר בורא פרי הגפן. ועל פירות הארץ הוא אומר בורא פרי האדמה חוץ מן הפת שעל הפת הוא אומר המוציא לחם מן הארץ ועל הירקות הוא אומר בורא פרי האדמה רבי יהודה אומר בורא מיני דשאים ע"כ. ובגמרא- מנא הני מילי? אלא סברא הוא אסור לו לאדם שיהנה מן העולם הזה בלא ברכה. אמר רב חנינא בר פפא כל הנהנה מן העוה"ז בלא ברכה כאילו גוזל להקב"ה וכנסת ישראל ע"ש.</w:t>
      </w:r>
    </w:p>
    <w:p w:rsidR="00B87A3A" w:rsidRDefault="00351E67" w:rsidP="00B87A3A">
      <w:pPr>
        <w:pStyle w:val="ListParagraph"/>
        <w:numPr>
          <w:ilvl w:val="0"/>
          <w:numId w:val="1"/>
        </w:numPr>
        <w:bidi/>
      </w:pPr>
      <w:r>
        <w:rPr>
          <w:rFonts w:hint="cs"/>
          <w:rtl/>
        </w:rPr>
        <w:t xml:space="preserve">ע' פירוש רש"י ד"ה אלא סברא הוא- </w:t>
      </w:r>
      <w:r w:rsidRPr="00351E67">
        <w:rPr>
          <w:rFonts w:hint="cs"/>
          <w:b/>
          <w:bCs/>
          <w:rtl/>
        </w:rPr>
        <w:t>דכיון דנהנה צריך להודות למי שבראם.</w:t>
      </w:r>
      <w:r>
        <w:rPr>
          <w:rFonts w:hint="cs"/>
          <w:rtl/>
        </w:rPr>
        <w:t xml:space="preserve"> וע' עוד רש"י ד"ה גוזל להקב"ה- </w:t>
      </w:r>
      <w:r w:rsidRPr="00351E67">
        <w:rPr>
          <w:rFonts w:hint="cs"/>
          <w:b/>
          <w:bCs/>
          <w:rtl/>
        </w:rPr>
        <w:t>את ברכתו.</w:t>
      </w:r>
    </w:p>
    <w:p w:rsidR="00351E67" w:rsidRDefault="00351E67" w:rsidP="00351E67">
      <w:pPr>
        <w:pStyle w:val="ListParagraph"/>
        <w:numPr>
          <w:ilvl w:val="0"/>
          <w:numId w:val="1"/>
        </w:numPr>
        <w:bidi/>
      </w:pPr>
      <w:r>
        <w:rPr>
          <w:rFonts w:hint="cs"/>
          <w:rtl/>
        </w:rPr>
        <w:t>והקשה המהרש"א דאמאי לא פ' רש"י כפשוטו דכאילו גוזל מהקב"ה את הפירות גופא דאכל בלי נטילת רשות? ע"ש שבאמת לומד כן.</w:t>
      </w:r>
    </w:p>
    <w:p w:rsidR="00351E67" w:rsidRDefault="00351E67" w:rsidP="00351E67">
      <w:pPr>
        <w:pStyle w:val="ListParagraph"/>
        <w:numPr>
          <w:ilvl w:val="0"/>
          <w:numId w:val="1"/>
        </w:numPr>
        <w:bidi/>
      </w:pPr>
      <w:r>
        <w:rPr>
          <w:rFonts w:hint="cs"/>
          <w:rtl/>
        </w:rPr>
        <w:t>ע' ריטב"א ברכות דף ל"ה. וז"ל "היאך יטול אדם מ שאינו שלו ולא יטול ממנו רשות? וכולהו ברכות לפניהם אתו מהאי סברא"</w:t>
      </w:r>
    </w:p>
    <w:p w:rsidR="00351E67" w:rsidRDefault="00351E67" w:rsidP="00351E67">
      <w:pPr>
        <w:pStyle w:val="ListParagraph"/>
        <w:numPr>
          <w:ilvl w:val="0"/>
          <w:numId w:val="1"/>
        </w:numPr>
        <w:bidi/>
      </w:pPr>
      <w:r>
        <w:rPr>
          <w:rFonts w:hint="cs"/>
          <w:rtl/>
        </w:rPr>
        <w:t>ומבואר דנחלקו רש"י וריטב"א בעצם 'סברא' דגמרא. דלריטב"א, הסברא הוא דכל העולם של הקב"ה עד שיברך, ולרש"י רק נאמר מסברא דחייב להודות. ולפ"ז אתי שפיר למה דחק רש"י לפרש דכאילו גזל את ברכתו, דבאמת גם קודם ברכה הפירות נחשבים שלנו, רק דחייב לברך, ואם לא בירך, גוזל את הברכה ודו"ק. והריטב"א ילמוד ע"ד המהרש"א דהגזל קאי על הפירות גופא.</w:t>
      </w:r>
    </w:p>
    <w:p w:rsidR="00351E67" w:rsidRDefault="006F2A01" w:rsidP="00351E67">
      <w:pPr>
        <w:pStyle w:val="ListParagraph"/>
        <w:numPr>
          <w:ilvl w:val="0"/>
          <w:numId w:val="1"/>
        </w:numPr>
        <w:bidi/>
      </w:pPr>
      <w:r>
        <w:rPr>
          <w:rFonts w:hint="cs"/>
          <w:rtl/>
        </w:rPr>
        <w:t>ע' רשב"א ל"ו. דכתב "ליכא דטעון ברכה לא לפניו ולא לאחריו מן התורה אלא שבעת המינים בלבד שהן טעונין לאחריהן מן התורה, הא שאר מינין בין לפניהן בין לאחריהן אין טעונין כלל אלא מסברא"</w:t>
      </w:r>
    </w:p>
    <w:p w:rsidR="006F2A01" w:rsidRDefault="006F2A01" w:rsidP="006F2A01">
      <w:pPr>
        <w:pStyle w:val="ListParagraph"/>
        <w:numPr>
          <w:ilvl w:val="0"/>
          <w:numId w:val="1"/>
        </w:numPr>
        <w:bidi/>
      </w:pPr>
      <w:r>
        <w:rPr>
          <w:rFonts w:hint="cs"/>
          <w:rtl/>
        </w:rPr>
        <w:t>ומבואר לדעת הרשב"א דגם ברכה אחרונה חייב מאותה סברא, וזה יתכן יותר לשיטת רש"י דהסברא הוא דחייב להודות, וממילא זה שייך גם לאחריו, וק"ו הוא, אבל להריטב"א ומהרש"א, הלא כבר נטל רשות, וברכה אחרונה הוא גדר אחר לכאורה.</w:t>
      </w:r>
    </w:p>
    <w:p w:rsidR="0008788B" w:rsidRPr="00143C65" w:rsidRDefault="00143C65" w:rsidP="00143C65">
      <w:pPr>
        <w:pStyle w:val="ListParagraph"/>
        <w:numPr>
          <w:ilvl w:val="0"/>
          <w:numId w:val="1"/>
        </w:numPr>
        <w:bidi/>
      </w:pPr>
      <w:r>
        <w:rPr>
          <w:rFonts w:hint="cs"/>
          <w:rtl/>
        </w:rPr>
        <w:t>ע' כסף משנה הלכות ברכות פ"ג הלכה י"ב דהקשה למה רק מברכינן ברכה אחרונה שאחר שאכל כשיעור כזית, אבל הברכה ראשונה מברכין אפילו על משהו. ות' דבעצם גם לברכה ראשונה בעי שיעור, רק דמחייבין על כ"ש משום דחיישינן דסופו לאכול כשיעור. ע"ש. ולכאורה מבואר מדברי הכסף משנה כדברי רש"י ורשב"א, דהגדר של ברכה ראשונה וברכה אחרונה הוא משום שבח והודאה, ומשו"ה הקשה מ"ש זה מזה.אבל להריטב"א ליכא קושיא מתחילה, דברכה ראשונה משום אסור ליהנות, וברכה אחרונה משום שבח.</w:t>
      </w:r>
    </w:p>
    <w:p w:rsidR="0008788B" w:rsidRPr="00143C65" w:rsidRDefault="0008788B" w:rsidP="00143C65">
      <w:pPr>
        <w:pStyle w:val="ListParagraph"/>
        <w:bidi/>
        <w:rPr>
          <w:b/>
          <w:bCs/>
        </w:rPr>
      </w:pPr>
      <w:r w:rsidRPr="0008788B">
        <w:rPr>
          <w:rFonts w:hint="cs"/>
          <w:b/>
          <w:bCs/>
          <w:rtl/>
        </w:rPr>
        <w:t>נפקא מינה במחלוקת זה</w:t>
      </w:r>
    </w:p>
    <w:p w:rsidR="006F2A01" w:rsidRDefault="006F2A01" w:rsidP="006F2A01">
      <w:pPr>
        <w:pStyle w:val="ListParagraph"/>
        <w:numPr>
          <w:ilvl w:val="0"/>
          <w:numId w:val="1"/>
        </w:numPr>
        <w:bidi/>
      </w:pPr>
      <w:r w:rsidRPr="00ED19AF">
        <w:rPr>
          <w:rFonts w:hint="cs"/>
          <w:b/>
          <w:bCs/>
          <w:rtl/>
        </w:rPr>
        <w:t>ע' תוס' ברכות י"ב.</w:t>
      </w:r>
      <w:r>
        <w:rPr>
          <w:rFonts w:hint="cs"/>
          <w:rtl/>
        </w:rPr>
        <w:t xml:space="preserve"> ד"ה לא לאתויי, דהביא מחלוקת רב אלפס ור"י באופן ספק ברכות הנהנין- לפי שיטת רב אלפס, באופן ספק ברכה, אמרינן ספק ברכה לקולא ולא יברך עוד פעם. אבל לשיטת הר"י מובא שם, אמרינן ספק ברכות לחומרא, וחייב לברך עוד פעם לצאת ידי ספק. וע' רעק"א שם, דהביא דברי המהרש"א פסחים, דגם הר"י מסכים דלגבי מצוות אמרינן ספק ברכות לקולא ורק גבי ברכת הנהנין אמרינן לחומרא, משום דאסור ליה</w:t>
      </w:r>
      <w:r w:rsidR="0008788B">
        <w:rPr>
          <w:rFonts w:hint="cs"/>
          <w:rtl/>
        </w:rPr>
        <w:t xml:space="preserve">נות בלי ברכה, ונחשב ספק איסור. </w:t>
      </w:r>
    </w:p>
    <w:p w:rsidR="0008788B" w:rsidRDefault="0008788B" w:rsidP="0008788B">
      <w:pPr>
        <w:pStyle w:val="ListParagraph"/>
        <w:numPr>
          <w:ilvl w:val="0"/>
          <w:numId w:val="1"/>
        </w:numPr>
        <w:bidi/>
      </w:pPr>
      <w:r>
        <w:rPr>
          <w:rFonts w:hint="cs"/>
          <w:rtl/>
        </w:rPr>
        <w:t>ולכאורה י"ל לפ"ז, דהרב אלפס ור"י פליגי במחלוקת הרש"י וריטב"א ומהרש"א, דלרש"י, נחשב חיוב הודאה, וספק לקולא, משא"כ למהרש"א וריטב"א נחשב ספק איסור ואזלינן לחומרא</w:t>
      </w:r>
    </w:p>
    <w:p w:rsidR="00ED19AF" w:rsidRDefault="00ED19AF" w:rsidP="00ED19AF">
      <w:pPr>
        <w:pStyle w:val="ListParagraph"/>
        <w:numPr>
          <w:ilvl w:val="0"/>
          <w:numId w:val="1"/>
        </w:numPr>
        <w:bidi/>
      </w:pPr>
      <w:r w:rsidRPr="00ED19AF">
        <w:rPr>
          <w:rFonts w:hint="cs"/>
          <w:b/>
          <w:bCs/>
          <w:rtl/>
        </w:rPr>
        <w:t>בעל קרי</w:t>
      </w:r>
      <w:r>
        <w:rPr>
          <w:rFonts w:hint="cs"/>
          <w:rtl/>
        </w:rPr>
        <w:t xml:space="preserve"> דאסור לברך בזמן הש"ס, מותר לאכול מה דבעי, ולא אמרינן דאסור לאכול בלא ברכה ומבואר דהגדר הוא 'קום עשה שבח והודאה' ולא מצד איסור אכילה בלי ברכה.</w:t>
      </w:r>
    </w:p>
    <w:p w:rsidR="0008788B" w:rsidRDefault="0008788B" w:rsidP="0008788B">
      <w:pPr>
        <w:pStyle w:val="ListParagraph"/>
        <w:numPr>
          <w:ilvl w:val="0"/>
          <w:numId w:val="1"/>
        </w:numPr>
        <w:bidi/>
      </w:pPr>
      <w:r w:rsidRPr="00ED19AF">
        <w:rPr>
          <w:rFonts w:hint="cs"/>
          <w:b/>
          <w:bCs/>
          <w:rtl/>
        </w:rPr>
        <w:t>אונן</w:t>
      </w:r>
      <w:r>
        <w:rPr>
          <w:rFonts w:hint="cs"/>
          <w:rtl/>
        </w:rPr>
        <w:t xml:space="preserve">- פטור מכל מצוות עשה, כגון תפילין וכדומה, אבל מוזהר על לא תעשה. וקיימא לן דאונן לא יברך קודם שיאכל. וכתב המנחת שלמה, דגם זה תלוי בהנ"ל, דלרש"י דהוא חיוב שבח והודאה, הוא בגדר קום עשה, ואונן פטור עליה, </w:t>
      </w:r>
      <w:r w:rsidR="00ED19AF">
        <w:rPr>
          <w:rFonts w:hint="cs"/>
          <w:rtl/>
        </w:rPr>
        <w:t>ממילא מותר לאכול בלי ברכה.</w:t>
      </w:r>
    </w:p>
    <w:p w:rsidR="00ED19AF" w:rsidRPr="00B87A3A" w:rsidRDefault="00127ECE" w:rsidP="00ED19AF">
      <w:pPr>
        <w:pStyle w:val="ListParagraph"/>
        <w:numPr>
          <w:ilvl w:val="0"/>
          <w:numId w:val="1"/>
        </w:numPr>
        <w:bidi/>
        <w:rPr>
          <w:rtl/>
        </w:rPr>
      </w:pPr>
      <w:r>
        <w:rPr>
          <w:rFonts w:hint="cs"/>
          <w:b/>
          <w:bCs/>
          <w:rtl/>
        </w:rPr>
        <w:t xml:space="preserve">ע' רא"ש </w:t>
      </w:r>
      <w:r w:rsidR="00143C65">
        <w:rPr>
          <w:rFonts w:hint="cs"/>
          <w:rtl/>
        </w:rPr>
        <w:t>הביא מחלוקת רמב"ם ור</w:t>
      </w:r>
      <w:r>
        <w:rPr>
          <w:rFonts w:hint="cs"/>
          <w:rtl/>
        </w:rPr>
        <w:t>אב"ד</w:t>
      </w:r>
      <w:r w:rsidR="00143C65">
        <w:rPr>
          <w:rFonts w:hint="cs"/>
          <w:rtl/>
        </w:rPr>
        <w:t xml:space="preserve"> אי מברכין על מאכלות אסורות (באופן דליכא משום פיקוח נפש) דלרא</w:t>
      </w:r>
      <w:r>
        <w:rPr>
          <w:rFonts w:hint="cs"/>
          <w:rtl/>
        </w:rPr>
        <w:t xml:space="preserve">ב"ד </w:t>
      </w:r>
      <w:r w:rsidR="00143C65">
        <w:rPr>
          <w:rFonts w:hint="cs"/>
          <w:rtl/>
        </w:rPr>
        <w:t>מברכין, ולהרמב"ם אין מברכין. ו</w:t>
      </w:r>
      <w:r>
        <w:rPr>
          <w:rFonts w:hint="cs"/>
          <w:rtl/>
        </w:rPr>
        <w:t xml:space="preserve">יש לתלות </w:t>
      </w:r>
      <w:r w:rsidR="00143C65">
        <w:rPr>
          <w:rFonts w:hint="cs"/>
          <w:rtl/>
        </w:rPr>
        <w:t xml:space="preserve">בחקירה הנ"ל, דלרא"ש </w:t>
      </w:r>
      <w:r>
        <w:rPr>
          <w:rFonts w:hint="cs"/>
          <w:rtl/>
        </w:rPr>
        <w:t xml:space="preserve">וראב"ד </w:t>
      </w:r>
      <w:bookmarkStart w:id="0" w:name="_GoBack"/>
      <w:bookmarkEnd w:id="0"/>
      <w:r w:rsidR="00143C65">
        <w:rPr>
          <w:rFonts w:hint="cs"/>
          <w:rtl/>
        </w:rPr>
        <w:t>דהוא איסור חפצא עד שיברך, ממילא, אע"פ דהברכה הוי ניאוץ, סו"ס צריך להמתיר של הברכה כמו דצריך להפריש חלה מהעיסה אע"פ דבא בגזילה, סו"ס בעי המתיר ואסור לאכול טבל, וכמו"כ הכא גבי ברכה. אבל הרמב"ם סבר דאין כאן איסור חפצא, והברכה רק בגדר מצוה של שבח והודאה, ממילא באופן דהוי אסור וגזול, דהברכה הוי מצד עצמו ניאוץ, ליכא ענין לברוכי ודו"ק.</w:t>
      </w:r>
    </w:p>
    <w:sectPr w:rsidR="00ED19AF" w:rsidRPr="00B87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C7659"/>
    <w:multiLevelType w:val="hybridMultilevel"/>
    <w:tmpl w:val="21D071BE"/>
    <w:lvl w:ilvl="0" w:tplc="CCE858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A"/>
    <w:rsid w:val="0008788B"/>
    <w:rsid w:val="00127ECE"/>
    <w:rsid w:val="00143C65"/>
    <w:rsid w:val="00351E67"/>
    <w:rsid w:val="006F2A01"/>
    <w:rsid w:val="00B87A3A"/>
    <w:rsid w:val="00ED1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6D48"/>
  <w15:chartTrackingRefBased/>
  <w15:docId w15:val="{063674B4-D348-47E0-BE52-F62785F6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A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A3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7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4</cp:revision>
  <dcterms:created xsi:type="dcterms:W3CDTF">2019-09-03T17:58:00Z</dcterms:created>
  <dcterms:modified xsi:type="dcterms:W3CDTF">2019-09-03T23:40:00Z</dcterms:modified>
</cp:coreProperties>
</file>