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E7E0FD" w14:textId="432F099C" w:rsidR="00E60DBD" w:rsidRDefault="00E60DBD" w:rsidP="00E60DBD">
      <w:pPr>
        <w:pStyle w:val="Heading1"/>
        <w:bidi/>
        <w:rPr>
          <w:rtl/>
        </w:rPr>
      </w:pPr>
      <w:r>
        <w:rPr>
          <w:rFonts w:hint="cs"/>
          <w:rtl/>
        </w:rPr>
        <w:t>טעימה בכוס של ברכה</w:t>
      </w:r>
    </w:p>
    <w:p w14:paraId="7E908CEB" w14:textId="0A7B1F1E" w:rsidR="00E60DBD" w:rsidRDefault="00E60DBD" w:rsidP="00E60DBD">
      <w:pPr>
        <w:bidi/>
        <w:rPr>
          <w:rtl/>
        </w:rPr>
      </w:pPr>
    </w:p>
    <w:p w14:paraId="30656C3C" w14:textId="34B5BE10" w:rsidR="00E60DBD" w:rsidRDefault="00E60DBD" w:rsidP="00E60DBD">
      <w:pPr>
        <w:pStyle w:val="ListParagraph"/>
        <w:numPr>
          <w:ilvl w:val="0"/>
          <w:numId w:val="1"/>
        </w:numPr>
        <w:bidi/>
      </w:pPr>
      <w:r>
        <w:rPr>
          <w:rFonts w:hint="cs"/>
          <w:rtl/>
        </w:rPr>
        <w:t>שאלה: אם קידש על כוס של יין, וקודם ששתה מהכוס נשפך הכוס, אם יצאה ידי קידוש או לא?</w:t>
      </w:r>
    </w:p>
    <w:p w14:paraId="3B4931B9" w14:textId="59F6313E" w:rsidR="00E60DBD" w:rsidRDefault="00E60DBD" w:rsidP="00E60DBD">
      <w:pPr>
        <w:pStyle w:val="ListParagraph"/>
        <w:numPr>
          <w:ilvl w:val="0"/>
          <w:numId w:val="1"/>
        </w:numPr>
        <w:bidi/>
      </w:pPr>
      <w:r>
        <w:rPr>
          <w:rFonts w:hint="cs"/>
          <w:rtl/>
        </w:rPr>
        <w:t xml:space="preserve">ע' סוגיא דפסחים ק"ז. אמר רב הונא אמר רב וכן תני רב גידל דמן נרש, המקדש וטעם מלא לוגמא יצא ואם לאו לא יצא. </w:t>
      </w:r>
    </w:p>
    <w:p w14:paraId="54CC03F2" w14:textId="105A6F9E" w:rsidR="00E60DBD" w:rsidRDefault="00E60DBD" w:rsidP="00E60DBD">
      <w:pPr>
        <w:pStyle w:val="ListParagraph"/>
        <w:numPr>
          <w:ilvl w:val="0"/>
          <w:numId w:val="1"/>
        </w:numPr>
        <w:bidi/>
      </w:pPr>
      <w:r>
        <w:rPr>
          <w:rFonts w:hint="cs"/>
          <w:rtl/>
        </w:rPr>
        <w:t xml:space="preserve">ע' </w:t>
      </w:r>
      <w:r w:rsidRPr="00E60DBD">
        <w:rPr>
          <w:rFonts w:hint="cs"/>
          <w:b/>
          <w:bCs/>
          <w:rtl/>
        </w:rPr>
        <w:t>רשב"ם</w:t>
      </w:r>
      <w:r>
        <w:rPr>
          <w:rFonts w:hint="cs"/>
          <w:rtl/>
        </w:rPr>
        <w:t xml:space="preserve"> שם, וז"ל "והכי הילכתא והוא שלא טעם אחד מכל המסובין אבל טעם אחד מהם יצאו כולן ידי חובתן ואע"פ שלא טעמו [פ' המקדש עצמו]"</w:t>
      </w:r>
    </w:p>
    <w:p w14:paraId="7878AB7B" w14:textId="2B2BFEA2" w:rsidR="00E60DBD" w:rsidRDefault="00E60DBD" w:rsidP="00E60DBD">
      <w:pPr>
        <w:pStyle w:val="ListParagraph"/>
        <w:numPr>
          <w:ilvl w:val="0"/>
          <w:numId w:val="1"/>
        </w:numPr>
        <w:bidi/>
      </w:pPr>
      <w:r>
        <w:rPr>
          <w:rFonts w:hint="cs"/>
          <w:rtl/>
        </w:rPr>
        <w:t>ומבואר מפשטות הסוגיא דצריך לטעום מהכוס, ואם לא טעם לא יצא. ומבואר שיטת רשב"ם דגם טעמו אחר מהני. וכן פסק כעיקר הדין בשו"ע ס' רע"א ע"ש.</w:t>
      </w:r>
    </w:p>
    <w:p w14:paraId="51D4480B" w14:textId="13A884B5" w:rsidR="00E60DBD" w:rsidRDefault="00E60DBD" w:rsidP="00E60DBD">
      <w:pPr>
        <w:pStyle w:val="ListParagraph"/>
        <w:numPr>
          <w:ilvl w:val="0"/>
          <w:numId w:val="1"/>
        </w:numPr>
        <w:bidi/>
      </w:pPr>
      <w:r>
        <w:rPr>
          <w:rFonts w:hint="cs"/>
          <w:rtl/>
        </w:rPr>
        <w:t xml:space="preserve">אבל ע' </w:t>
      </w:r>
      <w:r w:rsidRPr="00E60DBD">
        <w:rPr>
          <w:rFonts w:hint="cs"/>
          <w:b/>
          <w:bCs/>
          <w:rtl/>
        </w:rPr>
        <w:t>בבית יוסף</w:t>
      </w:r>
      <w:r>
        <w:rPr>
          <w:rFonts w:hint="cs"/>
          <w:rtl/>
        </w:rPr>
        <w:t xml:space="preserve"> סימן רע"א וז"ל "ונראה לי שאם נשפך הכוס קודם שיטעום אינו צריך לחזור ולקדש דמאי דאמרינן אם לא טעם לא יצא היינו לומר דלא יצא ידי מצוה כתקנה [פ' מן המובחר] וצ"ע במאי פליגי</w:t>
      </w:r>
    </w:p>
    <w:p w14:paraId="22794E12" w14:textId="399EDAB9" w:rsidR="00E60DBD" w:rsidRDefault="00E60DBD" w:rsidP="00E60DBD">
      <w:pPr>
        <w:pStyle w:val="ListParagraph"/>
        <w:numPr>
          <w:ilvl w:val="0"/>
          <w:numId w:val="1"/>
        </w:numPr>
        <w:bidi/>
      </w:pPr>
      <w:r>
        <w:rPr>
          <w:rFonts w:hint="cs"/>
          <w:rtl/>
        </w:rPr>
        <w:t>הא דמהני טעימת אחרים לבד המקדש הוא סוגיא בעירובין מ:. "יום הכפורים היכי עביד אי מברך עליה ושתי ליה כיון דאמר זמן קבליה עליה ואסר ליה</w:t>
      </w:r>
      <w:r w:rsidR="00F97E9A">
        <w:rPr>
          <w:rFonts w:hint="cs"/>
          <w:rtl/>
        </w:rPr>
        <w:t xml:space="preserve"> .. לברוך עליה ולנחיה המברך צריך שיטעום ליתביה לינוקא לית הלכתא כרב אחא דילמא אתי למסרך מאי הוי עלה .. הלכתא אומר זמן בר"ה וביוה"כ והלכתא זמן אומרו אפילו בשוק ע"כ סוגית הגמרא ע"ש. ומבואר דלולא טעם ד'מסרך' הוי מברך ונותנו לינוקא.</w:t>
      </w:r>
    </w:p>
    <w:p w14:paraId="1E39D070" w14:textId="485DAE85" w:rsidR="00F97E9A" w:rsidRDefault="00F97E9A" w:rsidP="00F97E9A">
      <w:pPr>
        <w:pStyle w:val="ListParagraph"/>
        <w:numPr>
          <w:ilvl w:val="0"/>
          <w:numId w:val="1"/>
        </w:numPr>
        <w:bidi/>
      </w:pPr>
      <w:r>
        <w:rPr>
          <w:rFonts w:hint="cs"/>
          <w:rtl/>
        </w:rPr>
        <w:t xml:space="preserve">ע' </w:t>
      </w:r>
      <w:r w:rsidRPr="00F97E9A">
        <w:rPr>
          <w:rFonts w:hint="cs"/>
          <w:b/>
          <w:bCs/>
          <w:rtl/>
        </w:rPr>
        <w:t>רש"י</w:t>
      </w:r>
      <w:r>
        <w:rPr>
          <w:rFonts w:hint="cs"/>
          <w:rtl/>
        </w:rPr>
        <w:t xml:space="preserve"> שם חידוש נפלא וז"ל "ליתביה לינוקא לשתותו לאחר שיברך עליו דהאי שיטעום דקאמר לאו דווקא קאמר אמברך דהוא הדין כי שתי אחרינא דטעמא משום </w:t>
      </w:r>
      <w:r w:rsidRPr="00F97E9A">
        <w:rPr>
          <w:rFonts w:hint="cs"/>
          <w:b/>
          <w:bCs/>
          <w:rtl/>
        </w:rPr>
        <w:t>דגנאי הוא לכוס של ברכה</w:t>
      </w:r>
      <w:r>
        <w:rPr>
          <w:rFonts w:hint="cs"/>
          <w:rtl/>
        </w:rPr>
        <w:t xml:space="preserve"> שלא יהנה אדם ממנו לאלתר שתהא ברכת היין דבורא פרי הגפן שלא לצורך ומכי טעם ליה אחרינא שפיר דמי" ע"ש</w:t>
      </w:r>
    </w:p>
    <w:p w14:paraId="4CFD0A5E" w14:textId="79B35E5C" w:rsidR="00F97E9A" w:rsidRDefault="00F97E9A" w:rsidP="00F97E9A">
      <w:pPr>
        <w:pStyle w:val="ListParagraph"/>
        <w:numPr>
          <w:ilvl w:val="0"/>
          <w:numId w:val="1"/>
        </w:numPr>
        <w:bidi/>
      </w:pPr>
      <w:r>
        <w:rPr>
          <w:rFonts w:hint="cs"/>
          <w:rtl/>
        </w:rPr>
        <w:t>ומבואר מרש"י, דהא דמברך 'בורא פרי הגפן' אינו מדין ברכת הנהנין, דהא מברכין אותו בלאו הכי, רק דאחר שכבר מברך אותו, השתא הוי גנאי אם אינו שותהו, דנראה שבירך שלא לצורך. ולומדין העולם דהברכה הוא ברכת השבח, מדין 'שירה על היין', ואינו משתמש כברכת הנהנין. ובעצם הוי סגי שלא לשתות כלל ורק מדין גנאי.</w:t>
      </w:r>
    </w:p>
    <w:p w14:paraId="7137FAC9" w14:textId="229A040A" w:rsidR="00F97E9A" w:rsidRDefault="00F97E9A" w:rsidP="00F97E9A">
      <w:pPr>
        <w:pStyle w:val="ListParagraph"/>
        <w:numPr>
          <w:ilvl w:val="0"/>
          <w:numId w:val="1"/>
        </w:numPr>
        <w:bidi/>
      </w:pPr>
      <w:r w:rsidRPr="00FF0E64">
        <w:rPr>
          <w:rFonts w:hint="cs"/>
          <w:b/>
          <w:bCs/>
          <w:rtl/>
        </w:rPr>
        <w:t>ע' שו"ע ס' תרכ"א הלכות יום הכפורים</w:t>
      </w:r>
      <w:r>
        <w:rPr>
          <w:rFonts w:hint="cs"/>
          <w:rtl/>
        </w:rPr>
        <w:t xml:space="preserve"> הלכה ג', דהיכי דאיתרמי ברית מילה ביוה"כ, שיטת המחבר הוא וז"ל "מברכין על המילה בלא כוס- והרמ"א שם כתב, וז"ל ויש אומרים דמברכין בכוס ונותנין לתינוק הנימול, וכן נוהגין ע"ש"</w:t>
      </w:r>
    </w:p>
    <w:p w14:paraId="0999ABAF" w14:textId="2D98FA20" w:rsidR="00F97E9A" w:rsidRDefault="00F97E9A" w:rsidP="00F97E9A">
      <w:pPr>
        <w:pStyle w:val="ListParagraph"/>
        <w:numPr>
          <w:ilvl w:val="0"/>
          <w:numId w:val="1"/>
        </w:numPr>
        <w:bidi/>
      </w:pPr>
      <w:r>
        <w:rPr>
          <w:rFonts w:hint="cs"/>
          <w:rtl/>
        </w:rPr>
        <w:t xml:space="preserve">ומבאר </w:t>
      </w:r>
      <w:r w:rsidRPr="00FF0E64">
        <w:rPr>
          <w:rFonts w:hint="cs"/>
          <w:b/>
          <w:bCs/>
          <w:rtl/>
        </w:rPr>
        <w:t>המג"א</w:t>
      </w:r>
      <w:r>
        <w:rPr>
          <w:rFonts w:hint="cs"/>
          <w:rtl/>
        </w:rPr>
        <w:t xml:space="preserve"> שם, ס"ק ג', </w:t>
      </w:r>
      <w:r w:rsidR="00FF0E64">
        <w:rPr>
          <w:rFonts w:hint="cs"/>
          <w:rtl/>
        </w:rPr>
        <w:t>"כיון דטעימת כוס אינו אלא משום גנאי שלא יאמרו שלא לצורך הוא ברכה זו, לכן די כשנותנין לתינוק קטן כזה. וע"ש במג"א שהביא דעות בזה, וכתב דאין למחות ביד המקילין ע"ש.</w:t>
      </w:r>
    </w:p>
    <w:p w14:paraId="60C07630" w14:textId="666C5C8D" w:rsidR="00FF0E64" w:rsidRDefault="00FF0E64" w:rsidP="00FF0E64">
      <w:pPr>
        <w:pStyle w:val="ListParagraph"/>
        <w:numPr>
          <w:ilvl w:val="0"/>
          <w:numId w:val="1"/>
        </w:numPr>
        <w:bidi/>
      </w:pPr>
      <w:r>
        <w:rPr>
          <w:rFonts w:hint="cs"/>
          <w:rtl/>
        </w:rPr>
        <w:t>ומבואר מדברי המגן אברהם דפסק כרש"י, דכל הטעימה הוא שלא תהא גנאי לכוס, אבל הברכה הוא מדין ברכת השבח והודאה. וגם מהני ליתן אפילו לתינוק הנימול דלא הוי עדיין בכלל חינוך ועדיין מספיק לסלק הגנאי לכוס. ע"ש.</w:t>
      </w:r>
    </w:p>
    <w:p w14:paraId="6627773F" w14:textId="64AF8C62" w:rsidR="00FF0E64" w:rsidRDefault="00FF0E64" w:rsidP="00FF0E64">
      <w:pPr>
        <w:pStyle w:val="ListParagraph"/>
        <w:numPr>
          <w:ilvl w:val="0"/>
          <w:numId w:val="1"/>
        </w:numPr>
        <w:bidi/>
      </w:pPr>
      <w:r>
        <w:rPr>
          <w:rFonts w:hint="cs"/>
          <w:rtl/>
        </w:rPr>
        <w:t xml:space="preserve">ע' </w:t>
      </w:r>
      <w:r w:rsidRPr="00FF0E64">
        <w:rPr>
          <w:rFonts w:hint="cs"/>
          <w:b/>
          <w:bCs/>
          <w:rtl/>
        </w:rPr>
        <w:t>ברבינו דויד פסחים ק"ז.</w:t>
      </w:r>
      <w:r>
        <w:rPr>
          <w:rFonts w:hint="cs"/>
          <w:rtl/>
        </w:rPr>
        <w:t xml:space="preserve"> שחולק על הבנת רש"י וז"ל " ומעתה נלמוד כי כשאמרו על המקדש שאם טעם מלא לוגמיו יצא ואם לאו לא יצא על כל היוצאים ידי קדוש אמרו ולא על המקדש עצמו דוקא, אלא הכל מדין המברך צריך שיטעום שכל שטעם אחד מהן יצאו כולן, או אפילו מי שאינו יוצא עמהן ואפילו ינוקא כדאיתא בפרק הכל מערבין שאין הכוונה אלא שאין חובת הכוס ליטלו בידו בלבד אלא שיהנה ממנו, ואין צריך שיהנה הוא עצמו אלא כל שנהנה ממנו אדם, ואם לא נהנה ממנו אדם הרי הוא כמי שלא היה שם כוס כלל"</w:t>
      </w:r>
    </w:p>
    <w:p w14:paraId="3DA96E82" w14:textId="2AE93997" w:rsidR="009601B0" w:rsidRDefault="009601B0" w:rsidP="009601B0">
      <w:pPr>
        <w:pStyle w:val="ListParagraph"/>
        <w:numPr>
          <w:ilvl w:val="0"/>
          <w:numId w:val="1"/>
        </w:numPr>
        <w:bidi/>
      </w:pPr>
      <w:r>
        <w:rPr>
          <w:rFonts w:hint="cs"/>
          <w:rtl/>
        </w:rPr>
        <w:t xml:space="preserve">מבואר, דדין 'על הכוס' הכוונה שצריך מישהו ליהנות מהכוס אחר כך כדי שתהא נחשבת 'על הכוס'. </w:t>
      </w:r>
    </w:p>
    <w:p w14:paraId="50532295" w14:textId="485C6E46" w:rsidR="009601B0" w:rsidRDefault="009601B0" w:rsidP="009601B0">
      <w:pPr>
        <w:pStyle w:val="ListParagraph"/>
        <w:numPr>
          <w:ilvl w:val="0"/>
          <w:numId w:val="1"/>
        </w:numPr>
        <w:bidi/>
      </w:pPr>
      <w:r>
        <w:rPr>
          <w:rFonts w:hint="cs"/>
          <w:rtl/>
        </w:rPr>
        <w:t xml:space="preserve">ולפ"ז בזה נחלקו </w:t>
      </w:r>
      <w:r w:rsidRPr="009601B0">
        <w:rPr>
          <w:rFonts w:hint="cs"/>
          <w:b/>
          <w:bCs/>
          <w:rtl/>
        </w:rPr>
        <w:t>הב"י עם הרשב"ם,</w:t>
      </w:r>
      <w:r>
        <w:rPr>
          <w:rFonts w:hint="cs"/>
          <w:rtl/>
        </w:rPr>
        <w:t xml:space="preserve"> דהב"י סבר כרש"י דרק הוי גנאי, אבל אם אינו שותהו, יצא רק דאינו מן המובחר משום גנאי, אבל להרשב"ם [שהוא להלכה] הוא דין בעצם דרק נחשבת 'על הכוס' אם נהנה אדם ממנו עכ"פ.</w:t>
      </w:r>
    </w:p>
    <w:p w14:paraId="1CFF45B4" w14:textId="04D0B915" w:rsidR="009601B0" w:rsidRDefault="009601B0" w:rsidP="009601B0">
      <w:pPr>
        <w:pStyle w:val="ListParagraph"/>
        <w:numPr>
          <w:ilvl w:val="0"/>
          <w:numId w:val="1"/>
        </w:numPr>
        <w:bidi/>
      </w:pPr>
      <w:r>
        <w:rPr>
          <w:rFonts w:hint="cs"/>
          <w:rtl/>
        </w:rPr>
        <w:t xml:space="preserve">ע' שיטת הגאונים מובא בטו"ר דגבי קידוש דוקא המקדש צריך לשתות, והסוגיא דעירובין איירי בשאר כוס של ברכה כגון זמן [לס"ד שצריך כוס] </w:t>
      </w:r>
      <w:r w:rsidRPr="009601B0">
        <w:rPr>
          <w:rFonts w:hint="cs"/>
          <w:b/>
          <w:bCs/>
          <w:rtl/>
        </w:rPr>
        <w:t>וע' ט"ז ס"ק י"ח</w:t>
      </w:r>
      <w:r>
        <w:rPr>
          <w:rFonts w:hint="cs"/>
          <w:rtl/>
        </w:rPr>
        <w:t xml:space="preserve"> שביאור דגבי קידוש אסמכוה אדאורייתא לקדש על היין. </w:t>
      </w:r>
    </w:p>
    <w:p w14:paraId="56591692" w14:textId="67711E04" w:rsidR="009601B0" w:rsidRPr="00E60DBD" w:rsidRDefault="009601B0" w:rsidP="009601B0">
      <w:pPr>
        <w:pStyle w:val="ListParagraph"/>
        <w:numPr>
          <w:ilvl w:val="0"/>
          <w:numId w:val="1"/>
        </w:numPr>
        <w:bidi/>
        <w:rPr>
          <w:rFonts w:hint="cs"/>
          <w:rtl/>
        </w:rPr>
      </w:pPr>
      <w:r>
        <w:rPr>
          <w:rFonts w:hint="cs"/>
          <w:rtl/>
        </w:rPr>
        <w:t xml:space="preserve">ועל פי שיטת הגאונים מיישבין הספר 'אשר לשלמה' להג"ר מרדכי ברמן זצל [חתן הסטפלר] סתירת שיטת רש"י עירובין עם מה שכתב בר"ה כ"ט: דצריך לברך כדי לשתות-דקידוש שאני דאסמכוה אקרא </w:t>
      </w:r>
      <w:bookmarkStart w:id="0" w:name="_GoBack"/>
      <w:bookmarkEnd w:id="0"/>
    </w:p>
    <w:sectPr w:rsidR="009601B0" w:rsidRPr="00E60D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024AFC"/>
    <w:multiLevelType w:val="hybridMultilevel"/>
    <w:tmpl w:val="FF12151A"/>
    <w:lvl w:ilvl="0" w:tplc="6FE6533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DBD"/>
    <w:rsid w:val="009601B0"/>
    <w:rsid w:val="00E60DBD"/>
    <w:rsid w:val="00F97E9A"/>
    <w:rsid w:val="00FF0E6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77BF1"/>
  <w15:chartTrackingRefBased/>
  <w15:docId w15:val="{70BD9690-89DE-4A24-AD81-7A0BCAF43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0D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DBD"/>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E60D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487</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Yonah Burr</dc:creator>
  <cp:keywords/>
  <dc:description/>
  <cp:lastModifiedBy>Yonah Burr</cp:lastModifiedBy>
  <cp:revision>2</cp:revision>
  <dcterms:created xsi:type="dcterms:W3CDTF">2019-07-22T22:46:00Z</dcterms:created>
  <dcterms:modified xsi:type="dcterms:W3CDTF">2019-07-22T23:25:00Z</dcterms:modified>
</cp:coreProperties>
</file>