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68" w:rsidRPr="0067664F" w:rsidRDefault="00307A68" w:rsidP="00A941E9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67664F">
        <w:rPr>
          <w:rFonts w:ascii="Arial" w:hAnsi="Arial" w:cs="Arial"/>
          <w:b/>
          <w:sz w:val="22"/>
          <w:szCs w:val="22"/>
        </w:rPr>
        <w:t>AVISO DE CONVOCATORIA</w:t>
      </w: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A941E9" w:rsidRDefault="00A941E9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67664F">
        <w:rPr>
          <w:rFonts w:ascii="Arial" w:hAnsi="Arial" w:cs="Arial"/>
          <w:sz w:val="22"/>
          <w:szCs w:val="22"/>
        </w:rPr>
        <w:t>El Gerente del Canal Regional de Televisión del Caribe Limitada - TELECARIBE</w:t>
      </w:r>
      <w:r w:rsidR="00307A68" w:rsidRPr="0067664F">
        <w:rPr>
          <w:rFonts w:ascii="Arial" w:hAnsi="Arial" w:cs="Arial"/>
          <w:sz w:val="22"/>
          <w:szCs w:val="22"/>
        </w:rPr>
        <w:t>, y en su condición de Ordenador del Gasto, en ejercicio de las facultades conferidas por estatutos del Canal y la Ley</w:t>
      </w:r>
      <w:r w:rsidR="00303C49">
        <w:rPr>
          <w:rFonts w:ascii="Arial" w:hAnsi="Arial" w:cs="Arial"/>
          <w:sz w:val="22"/>
          <w:szCs w:val="22"/>
        </w:rPr>
        <w:t xml:space="preserve"> 182 de 1995 artículo 37</w:t>
      </w:r>
      <w:r w:rsidR="00307A68" w:rsidRPr="0067664F">
        <w:rPr>
          <w:rFonts w:ascii="Arial" w:hAnsi="Arial" w:cs="Arial"/>
          <w:sz w:val="22"/>
          <w:szCs w:val="22"/>
          <w:lang w:val="es-ES"/>
        </w:rPr>
        <w:t>,</w:t>
      </w:r>
      <w:r w:rsidRPr="0067664F">
        <w:rPr>
          <w:rFonts w:ascii="Arial" w:hAnsi="Arial" w:cs="Arial"/>
          <w:sz w:val="22"/>
          <w:szCs w:val="22"/>
          <w:lang w:val="es-ES"/>
        </w:rPr>
        <w:t xml:space="preserve"> </w:t>
      </w:r>
      <w:r w:rsidR="00307A68" w:rsidRPr="0067664F">
        <w:rPr>
          <w:rFonts w:ascii="Arial" w:hAnsi="Arial" w:cs="Arial"/>
          <w:sz w:val="22"/>
          <w:szCs w:val="22"/>
        </w:rPr>
        <w:t xml:space="preserve">se convoca a todos los interesados en participar en el siguiente proceso de </w:t>
      </w:r>
      <w:r w:rsidRPr="0067664F">
        <w:rPr>
          <w:rFonts w:ascii="Arial" w:hAnsi="Arial" w:cs="Arial"/>
          <w:sz w:val="22"/>
          <w:szCs w:val="22"/>
        </w:rPr>
        <w:t>convocatoria</w:t>
      </w:r>
      <w:r w:rsidR="0067664F">
        <w:rPr>
          <w:rFonts w:ascii="Arial" w:hAnsi="Arial" w:cs="Arial"/>
          <w:sz w:val="22"/>
          <w:szCs w:val="22"/>
        </w:rPr>
        <w:t>.</w:t>
      </w:r>
    </w:p>
    <w:p w:rsidR="0067664F" w:rsidRPr="0067664F" w:rsidRDefault="0067664F" w:rsidP="00A941E9">
      <w:pPr>
        <w:pStyle w:val="Sinespaciado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:rsidR="00307A68" w:rsidRPr="0067664F" w:rsidRDefault="00A941E9" w:rsidP="00A941E9">
      <w:pPr>
        <w:pStyle w:val="Sinespaciado"/>
        <w:jc w:val="center"/>
        <w:rPr>
          <w:rFonts w:ascii="Arial" w:hAnsi="Arial" w:cs="Arial"/>
          <w:b/>
          <w:spacing w:val="-3"/>
          <w:sz w:val="22"/>
          <w:szCs w:val="22"/>
          <w:lang w:val="es-ES"/>
        </w:rPr>
      </w:pPr>
      <w:r w:rsidRPr="0067664F">
        <w:rPr>
          <w:rFonts w:ascii="Arial" w:hAnsi="Arial" w:cs="Arial"/>
          <w:b/>
          <w:spacing w:val="-3"/>
          <w:sz w:val="22"/>
          <w:szCs w:val="22"/>
          <w:lang w:val="es-ES"/>
        </w:rPr>
        <w:t>Invitación</w:t>
      </w:r>
      <w:r w:rsidR="00307A68" w:rsidRPr="0067664F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 No. 00</w:t>
      </w:r>
      <w:r w:rsidRPr="0067664F">
        <w:rPr>
          <w:rFonts w:ascii="Arial" w:hAnsi="Arial" w:cs="Arial"/>
          <w:b/>
          <w:spacing w:val="-3"/>
          <w:sz w:val="22"/>
          <w:szCs w:val="22"/>
          <w:lang w:val="es-ES"/>
        </w:rPr>
        <w:t>2</w:t>
      </w:r>
      <w:r w:rsidR="00307A68" w:rsidRPr="0067664F">
        <w:rPr>
          <w:rFonts w:ascii="Arial" w:hAnsi="Arial" w:cs="Arial"/>
          <w:b/>
          <w:spacing w:val="-3"/>
          <w:sz w:val="22"/>
          <w:szCs w:val="22"/>
          <w:lang w:val="es-ES"/>
        </w:rPr>
        <w:t xml:space="preserve"> DE 201</w:t>
      </w:r>
      <w:r w:rsidRPr="0067664F">
        <w:rPr>
          <w:rFonts w:ascii="Arial" w:hAnsi="Arial" w:cs="Arial"/>
          <w:b/>
          <w:spacing w:val="-3"/>
          <w:sz w:val="22"/>
          <w:szCs w:val="22"/>
          <w:lang w:val="es-ES"/>
        </w:rPr>
        <w:t>5</w:t>
      </w:r>
    </w:p>
    <w:p w:rsidR="00307A68" w:rsidRPr="0067664F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307A68" w:rsidRPr="0067664F" w:rsidRDefault="00A941E9" w:rsidP="00A941E9">
      <w:pPr>
        <w:pStyle w:val="Sinespaciado"/>
        <w:jc w:val="both"/>
        <w:rPr>
          <w:rFonts w:ascii="Arial" w:eastAsia="Times New Roman" w:hAnsi="Arial" w:cs="Arial"/>
          <w:b/>
          <w:sz w:val="22"/>
          <w:szCs w:val="22"/>
        </w:rPr>
      </w:pPr>
      <w:r w:rsidRPr="0067664F">
        <w:rPr>
          <w:rFonts w:ascii="Arial" w:eastAsiaTheme="minorHAnsi" w:hAnsi="Arial" w:cs="Arial"/>
          <w:b/>
          <w:sz w:val="22"/>
          <w:szCs w:val="22"/>
          <w:lang w:val="es-ES" w:eastAsia="en-US"/>
        </w:rPr>
        <w:t xml:space="preserve">OBJETO: </w:t>
      </w:r>
      <w:r w:rsidRPr="0067664F">
        <w:rPr>
          <w:rFonts w:ascii="Arial" w:eastAsia="Times New Roman" w:hAnsi="Arial" w:cs="Arial"/>
          <w:b/>
          <w:sz w:val="22"/>
          <w:szCs w:val="22"/>
        </w:rPr>
        <w:t>"</w:t>
      </w:r>
      <w:r w:rsidRPr="0067664F">
        <w:rPr>
          <w:rFonts w:ascii="Arial" w:hAnsi="Arial" w:cs="Arial"/>
          <w:b/>
          <w:sz w:val="22"/>
          <w:szCs w:val="22"/>
          <w:lang w:val="es-MX"/>
        </w:rPr>
        <w:t xml:space="preserve"> PRESTAR LOS SERVICIOS DE PRODUCCIÓN Y EQUIPO TÉCNICO PARA LA </w:t>
      </w:r>
      <w:r w:rsidRPr="0067664F">
        <w:rPr>
          <w:rFonts w:ascii="Arial" w:hAnsi="Arial" w:cs="Arial"/>
          <w:b/>
          <w:sz w:val="22"/>
          <w:szCs w:val="22"/>
          <w:lang w:eastAsia="en-US"/>
        </w:rPr>
        <w:t xml:space="preserve">TRANSMISIÓN EN DIRECTO DURANTE </w:t>
      </w:r>
      <w:r w:rsidRPr="0067664F">
        <w:rPr>
          <w:rFonts w:ascii="Arial" w:hAnsi="Arial" w:cs="Arial"/>
          <w:b/>
          <w:sz w:val="22"/>
          <w:szCs w:val="22"/>
        </w:rPr>
        <w:t>EL  “</w:t>
      </w:r>
      <w:r w:rsidRPr="0067664F">
        <w:rPr>
          <w:rFonts w:ascii="Arial" w:hAnsi="Arial" w:cs="Arial"/>
          <w:b/>
          <w:sz w:val="22"/>
          <w:szCs w:val="22"/>
          <w:shd w:val="clear" w:color="auto" w:fill="FFFFFF"/>
        </w:rPr>
        <w:t>FESTIVAL FRANCISCO EL HOMBRE”  EL 22</w:t>
      </w:r>
      <w:r w:rsidRPr="0067664F">
        <w:rPr>
          <w:rFonts w:ascii="Arial" w:hAnsi="Arial" w:cs="Arial"/>
          <w:b/>
          <w:sz w:val="22"/>
          <w:szCs w:val="22"/>
          <w:lang w:eastAsia="en-US"/>
        </w:rPr>
        <w:t xml:space="preserve"> DE MARZO DE  2015.</w:t>
      </w:r>
      <w:r w:rsidRPr="0067664F">
        <w:rPr>
          <w:rFonts w:ascii="Arial" w:eastAsia="Times New Roman" w:hAnsi="Arial" w:cs="Arial"/>
          <w:b/>
          <w:sz w:val="22"/>
          <w:szCs w:val="22"/>
        </w:rPr>
        <w:t>"</w:t>
      </w: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:rsidR="00307A68" w:rsidRPr="0067664F" w:rsidRDefault="00307A68" w:rsidP="00A941E9">
      <w:pPr>
        <w:pStyle w:val="Sinespaciad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67664F">
        <w:rPr>
          <w:rFonts w:ascii="Arial" w:eastAsiaTheme="minorHAnsi" w:hAnsi="Arial" w:cs="Arial"/>
          <w:b/>
          <w:sz w:val="22"/>
          <w:szCs w:val="22"/>
          <w:lang w:val="es-ES" w:eastAsia="en-US"/>
        </w:rPr>
        <w:t>Convocatoria Veedurías Ciudadanas</w:t>
      </w:r>
    </w:p>
    <w:p w:rsidR="00A941E9" w:rsidRPr="0067664F" w:rsidRDefault="00A941E9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307A68" w:rsidRPr="0067664F" w:rsidRDefault="00A941E9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67664F">
        <w:rPr>
          <w:rFonts w:ascii="Arial" w:hAnsi="Arial" w:cs="Arial"/>
          <w:sz w:val="22"/>
          <w:szCs w:val="22"/>
          <w:lang w:val="es-MX"/>
        </w:rPr>
        <w:t>TELECARIBE convoca veedurías ciudadanas para realizar el control social al presente proceso de contratación, para lo cual suministrará la información y documentación requerida, que no esté publicada en el portal web de la entidad.</w:t>
      </w:r>
    </w:p>
    <w:p w:rsidR="00307A68" w:rsidRPr="0067664F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 w:rsidRPr="0067664F">
        <w:rPr>
          <w:rFonts w:ascii="Arial" w:eastAsiaTheme="minorHAnsi" w:hAnsi="Arial" w:cs="Arial"/>
          <w:sz w:val="22"/>
          <w:szCs w:val="22"/>
          <w:lang w:val="es-ES" w:eastAsia="en-US"/>
        </w:rPr>
        <w:t>Modalidad de Selección</w:t>
      </w: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:rsidR="00307A68" w:rsidRPr="0067664F" w:rsidRDefault="00307A68" w:rsidP="00A941E9">
      <w:pPr>
        <w:pStyle w:val="Sinespaciad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67664F">
        <w:rPr>
          <w:rFonts w:ascii="Arial" w:eastAsiaTheme="minorHAnsi" w:hAnsi="Arial" w:cs="Arial"/>
          <w:b/>
          <w:sz w:val="22"/>
          <w:szCs w:val="22"/>
          <w:lang w:val="es-ES" w:eastAsia="en-US"/>
        </w:rPr>
        <w:t>Lugar de Consulta</w:t>
      </w:r>
    </w:p>
    <w:p w:rsidR="00307A68" w:rsidRPr="0067664F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  <w:proofErr w:type="spellStart"/>
      <w:r w:rsidRPr="0067664F">
        <w:rPr>
          <w:rFonts w:ascii="Arial" w:hAnsi="Arial" w:cs="Arial"/>
          <w:sz w:val="22"/>
          <w:szCs w:val="22"/>
        </w:rPr>
        <w:t>TeleCaribe</w:t>
      </w:r>
      <w:proofErr w:type="spellEnd"/>
      <w:r w:rsidRPr="006766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664F">
        <w:rPr>
          <w:rFonts w:ascii="Arial" w:hAnsi="Arial" w:cs="Arial"/>
          <w:sz w:val="22"/>
          <w:szCs w:val="22"/>
        </w:rPr>
        <w:t>Ltda</w:t>
      </w:r>
      <w:proofErr w:type="spellEnd"/>
      <w:r w:rsidRPr="0067664F">
        <w:rPr>
          <w:rFonts w:ascii="Arial" w:hAnsi="Arial" w:cs="Arial"/>
          <w:sz w:val="22"/>
          <w:szCs w:val="22"/>
        </w:rPr>
        <w:t xml:space="preserve"> -Oficina Asesora Jurídica-, publicará toda la información relacionada con la presente SELECCIÓN, en el Portal </w:t>
      </w:r>
      <w:r w:rsidR="00A941E9" w:rsidRPr="0067664F">
        <w:rPr>
          <w:rFonts w:ascii="Arial" w:hAnsi="Arial" w:cs="Arial"/>
          <w:sz w:val="22"/>
          <w:szCs w:val="22"/>
        </w:rPr>
        <w:t>del Canal TELECARIBE</w:t>
      </w:r>
      <w:r w:rsidRPr="0067664F">
        <w:rPr>
          <w:rFonts w:ascii="Arial" w:hAnsi="Arial" w:cs="Arial"/>
          <w:sz w:val="22"/>
          <w:szCs w:val="22"/>
        </w:rPr>
        <w:t xml:space="preserve">, por tal motivo allí aparecerá disponible para consulta todos los documentos necesarios del presente proceso, como también, se dispondrá de copia física para consulta en la Carrera </w:t>
      </w:r>
      <w:r w:rsidR="00A941E9" w:rsidRPr="0067664F">
        <w:rPr>
          <w:rFonts w:ascii="Arial" w:hAnsi="Arial" w:cs="Arial"/>
          <w:sz w:val="22"/>
          <w:szCs w:val="22"/>
          <w:lang w:val="es-MX"/>
        </w:rPr>
        <w:t>Carrera 30 # 1-2487, Puerto Colombia.</w:t>
      </w:r>
    </w:p>
    <w:p w:rsidR="00307A68" w:rsidRPr="0067664F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307A68" w:rsidRPr="0067664F" w:rsidRDefault="00307A68" w:rsidP="0067664F">
      <w:pPr>
        <w:pStyle w:val="Sinespaciado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67664F">
        <w:rPr>
          <w:rFonts w:ascii="Arial" w:eastAsiaTheme="minorHAnsi" w:hAnsi="Arial" w:cs="Arial"/>
          <w:b/>
          <w:sz w:val="22"/>
          <w:szCs w:val="22"/>
          <w:lang w:val="es-ES" w:eastAsia="en-US"/>
        </w:rPr>
        <w:t>Presupuesto Oficial</w:t>
      </w:r>
    </w:p>
    <w:p w:rsidR="00307A68" w:rsidRPr="0067664F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307A68" w:rsidRPr="0067664F" w:rsidRDefault="0067664F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7664F">
        <w:rPr>
          <w:rFonts w:ascii="Arial" w:hAnsi="Arial" w:cs="Arial"/>
          <w:b/>
          <w:sz w:val="22"/>
          <w:szCs w:val="22"/>
          <w:lang w:val="es-MX"/>
        </w:rPr>
        <w:t xml:space="preserve">TELECARIBE </w:t>
      </w:r>
      <w:r w:rsidRPr="0067664F">
        <w:rPr>
          <w:rFonts w:ascii="Arial" w:hAnsi="Arial" w:cs="Arial"/>
          <w:sz w:val="22"/>
          <w:szCs w:val="22"/>
          <w:lang w:val="es-MX"/>
        </w:rPr>
        <w:t xml:space="preserve">cuenta con disponibilidad presupuestal para atender el gasto que se derive de </w:t>
      </w:r>
      <w:r w:rsidR="00213B86">
        <w:rPr>
          <w:rFonts w:ascii="Arial" w:hAnsi="Arial" w:cs="Arial"/>
          <w:sz w:val="22"/>
          <w:szCs w:val="22"/>
          <w:lang w:val="es-MX"/>
        </w:rPr>
        <w:t>esta convocatoria</w:t>
      </w:r>
      <w:r w:rsidRPr="0067664F">
        <w:rPr>
          <w:rFonts w:ascii="Arial" w:hAnsi="Arial" w:cs="Arial"/>
          <w:sz w:val="22"/>
          <w:szCs w:val="22"/>
          <w:lang w:val="es-MX"/>
        </w:rPr>
        <w:t xml:space="preserve">, </w:t>
      </w:r>
      <w:r w:rsidR="00213B86">
        <w:rPr>
          <w:rFonts w:ascii="Arial" w:hAnsi="Arial" w:cs="Arial"/>
          <w:sz w:val="22"/>
          <w:szCs w:val="22"/>
          <w:lang w:val="es-MX"/>
        </w:rPr>
        <w:t>un</w:t>
      </w:r>
      <w:r w:rsidRPr="0067664F">
        <w:rPr>
          <w:rFonts w:ascii="Arial" w:hAnsi="Arial" w:cs="Arial"/>
          <w:sz w:val="22"/>
          <w:szCs w:val="22"/>
          <w:lang w:val="es-MX"/>
        </w:rPr>
        <w:t xml:space="preserve"> valor de</w:t>
      </w:r>
      <w:r w:rsidRPr="0067664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67664F">
        <w:rPr>
          <w:rFonts w:ascii="Arial" w:hAnsi="Arial" w:cs="Arial"/>
          <w:sz w:val="22"/>
          <w:szCs w:val="22"/>
        </w:rPr>
        <w:t>veinticinco millones de pesos M/</w:t>
      </w:r>
      <w:proofErr w:type="spellStart"/>
      <w:r w:rsidRPr="0067664F">
        <w:rPr>
          <w:rFonts w:ascii="Arial" w:hAnsi="Arial" w:cs="Arial"/>
          <w:sz w:val="22"/>
          <w:szCs w:val="22"/>
        </w:rPr>
        <w:t>cte</w:t>
      </w:r>
      <w:proofErr w:type="spellEnd"/>
      <w:r w:rsidRPr="0067664F">
        <w:rPr>
          <w:rFonts w:ascii="Arial" w:hAnsi="Arial" w:cs="Arial"/>
          <w:sz w:val="22"/>
          <w:szCs w:val="22"/>
        </w:rPr>
        <w:t xml:space="preserve"> ($</w:t>
      </w:r>
      <w:r w:rsidRPr="0067664F">
        <w:rPr>
          <w:rFonts w:ascii="Arial" w:hAnsi="Arial" w:cs="Arial"/>
          <w:color w:val="000000"/>
          <w:sz w:val="22"/>
          <w:szCs w:val="22"/>
        </w:rPr>
        <w:t>25.000.000)</w:t>
      </w:r>
      <w:r w:rsidRPr="0067664F">
        <w:rPr>
          <w:rFonts w:ascii="Arial" w:hAnsi="Arial" w:cs="Arial"/>
          <w:sz w:val="22"/>
          <w:szCs w:val="22"/>
        </w:rPr>
        <w:t xml:space="preserve"> IVA incluido recursos ANTV</w:t>
      </w:r>
    </w:p>
    <w:p w:rsidR="00213B86" w:rsidRDefault="00213B86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307A68" w:rsidRPr="00213B86" w:rsidRDefault="00307A68" w:rsidP="00213B86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213B86">
        <w:rPr>
          <w:rFonts w:ascii="Arial" w:hAnsi="Arial" w:cs="Arial"/>
          <w:b/>
          <w:sz w:val="22"/>
          <w:szCs w:val="22"/>
        </w:rPr>
        <w:t>Plazo de Ejecución</w:t>
      </w: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67664F">
        <w:rPr>
          <w:rFonts w:ascii="Arial" w:hAnsi="Arial" w:cs="Arial"/>
          <w:sz w:val="22"/>
          <w:szCs w:val="22"/>
        </w:rPr>
        <w:t xml:space="preserve">El plazo de ejecución del contrato que se derive del proceso de selección, es de </w:t>
      </w:r>
      <w:r w:rsidR="0067664F" w:rsidRPr="0067664F">
        <w:rPr>
          <w:rFonts w:ascii="Arial" w:hAnsi="Arial" w:cs="Arial"/>
          <w:bCs/>
          <w:sz w:val="22"/>
          <w:szCs w:val="22"/>
        </w:rPr>
        <w:t>13 de marzo del 2015 al 31 de Julio del 2015</w:t>
      </w:r>
      <w:r w:rsidRPr="0067664F">
        <w:rPr>
          <w:rFonts w:ascii="Arial" w:hAnsi="Arial" w:cs="Arial"/>
          <w:sz w:val="22"/>
          <w:szCs w:val="22"/>
        </w:rPr>
        <w:t>.</w:t>
      </w: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67664F">
        <w:rPr>
          <w:rFonts w:ascii="Arial" w:hAnsi="Arial" w:cs="Arial"/>
          <w:sz w:val="22"/>
          <w:szCs w:val="22"/>
        </w:rPr>
        <w:t>El contrato se entiende perfeccionado con la firma de las partes. Para su ejecución se requerirá de la aprobación de las garantías, y la expedición del registro presupuestal.</w:t>
      </w:r>
    </w:p>
    <w:p w:rsidR="00307A68" w:rsidRPr="0067664F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07A68" w:rsidRDefault="00307A68" w:rsidP="00A941E9">
      <w:pPr>
        <w:pStyle w:val="Sinespaciado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bookmarkStart w:id="0" w:name="_GoBack"/>
      <w:bookmarkEnd w:id="0"/>
    </w:p>
    <w:p w:rsidR="00213B86" w:rsidRDefault="00C26788" w:rsidP="0067664F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Original firmado</w:t>
      </w:r>
    </w:p>
    <w:p w:rsidR="00307A68" w:rsidRPr="0067664F" w:rsidRDefault="00213B86" w:rsidP="0067664F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07A68" w:rsidRPr="0067664F">
        <w:rPr>
          <w:rFonts w:ascii="Arial" w:hAnsi="Arial" w:cs="Arial"/>
          <w:sz w:val="22"/>
          <w:szCs w:val="22"/>
        </w:rPr>
        <w:t>UAN MANUEL BUELVAS</w:t>
      </w:r>
    </w:p>
    <w:p w:rsidR="00307A68" w:rsidRPr="00A941E9" w:rsidRDefault="00307A68" w:rsidP="00213B86">
      <w:pPr>
        <w:pStyle w:val="Sinespaciado"/>
        <w:jc w:val="center"/>
        <w:rPr>
          <w:rFonts w:ascii="Arial" w:hAnsi="Arial" w:cs="Arial"/>
        </w:rPr>
      </w:pPr>
      <w:r w:rsidRPr="0067664F">
        <w:rPr>
          <w:rFonts w:ascii="Arial" w:hAnsi="Arial" w:cs="Arial"/>
          <w:sz w:val="22"/>
          <w:szCs w:val="22"/>
        </w:rPr>
        <w:t>Gerente General</w:t>
      </w: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12"/>
          <w:szCs w:val="12"/>
        </w:rPr>
      </w:pPr>
    </w:p>
    <w:p w:rsidR="00307A68" w:rsidRPr="0067664F" w:rsidRDefault="00307A68" w:rsidP="00A941E9">
      <w:pPr>
        <w:pStyle w:val="Sinespaciado"/>
        <w:jc w:val="both"/>
        <w:rPr>
          <w:rFonts w:ascii="Arial" w:hAnsi="Arial" w:cs="Arial"/>
          <w:sz w:val="12"/>
          <w:szCs w:val="12"/>
        </w:rPr>
      </w:pPr>
      <w:r w:rsidRPr="0067664F">
        <w:rPr>
          <w:rFonts w:ascii="Arial" w:hAnsi="Arial" w:cs="Arial"/>
          <w:sz w:val="12"/>
          <w:szCs w:val="12"/>
        </w:rPr>
        <w:t xml:space="preserve">Proyectó jurídicamente:   </w:t>
      </w:r>
      <w:r w:rsidRPr="0067664F">
        <w:rPr>
          <w:rFonts w:ascii="Arial" w:hAnsi="Arial" w:cs="Arial"/>
          <w:sz w:val="12"/>
          <w:szCs w:val="12"/>
        </w:rPr>
        <w:tab/>
      </w:r>
      <w:proofErr w:type="spellStart"/>
      <w:r w:rsidR="0067664F" w:rsidRPr="0067664F">
        <w:rPr>
          <w:rFonts w:ascii="Arial" w:hAnsi="Arial" w:cs="Arial"/>
          <w:sz w:val="12"/>
          <w:szCs w:val="12"/>
        </w:rPr>
        <w:t>GSantos</w:t>
      </w:r>
      <w:proofErr w:type="spellEnd"/>
      <w:r w:rsidRPr="0067664F">
        <w:rPr>
          <w:rFonts w:ascii="Arial" w:hAnsi="Arial" w:cs="Arial"/>
          <w:sz w:val="12"/>
          <w:szCs w:val="12"/>
        </w:rPr>
        <w:t xml:space="preserve"> – Asesor Externo </w:t>
      </w:r>
    </w:p>
    <w:p w:rsidR="00854F4A" w:rsidRPr="00A941E9" w:rsidRDefault="00307A68" w:rsidP="00A941E9">
      <w:pPr>
        <w:pStyle w:val="Sinespaciado"/>
        <w:jc w:val="both"/>
        <w:rPr>
          <w:rFonts w:ascii="Arial" w:hAnsi="Arial" w:cs="Arial"/>
        </w:rPr>
      </w:pPr>
      <w:r w:rsidRPr="0067664F">
        <w:rPr>
          <w:rFonts w:ascii="Arial" w:hAnsi="Arial" w:cs="Arial"/>
          <w:sz w:val="12"/>
          <w:szCs w:val="12"/>
        </w:rPr>
        <w:t xml:space="preserve">Revisó  jurídicamente:    </w:t>
      </w:r>
      <w:r w:rsidRPr="0067664F">
        <w:rPr>
          <w:rFonts w:ascii="Arial" w:hAnsi="Arial" w:cs="Arial"/>
          <w:sz w:val="12"/>
          <w:szCs w:val="12"/>
        </w:rPr>
        <w:tab/>
        <w:t xml:space="preserve">Andrés </w:t>
      </w:r>
      <w:proofErr w:type="spellStart"/>
      <w:r w:rsidRPr="0067664F">
        <w:rPr>
          <w:rFonts w:ascii="Arial" w:hAnsi="Arial" w:cs="Arial"/>
          <w:sz w:val="12"/>
          <w:szCs w:val="12"/>
        </w:rPr>
        <w:t>Herazo</w:t>
      </w:r>
      <w:proofErr w:type="spellEnd"/>
      <w:r w:rsidRPr="0067664F">
        <w:rPr>
          <w:rFonts w:ascii="Arial" w:hAnsi="Arial" w:cs="Arial"/>
          <w:sz w:val="12"/>
          <w:szCs w:val="12"/>
        </w:rPr>
        <w:t xml:space="preserve">  - Secretario General</w:t>
      </w:r>
    </w:p>
    <w:sectPr w:rsidR="00854F4A" w:rsidRPr="00A941E9" w:rsidSect="00F57BD8">
      <w:headerReference w:type="default" r:id="rId7"/>
      <w:footerReference w:type="default" r:id="rId8"/>
      <w:pgSz w:w="12242" w:h="15842" w:code="1"/>
      <w:pgMar w:top="2098" w:right="1701" w:bottom="363" w:left="1701" w:header="539" w:footer="1134" w:gutter="0"/>
      <w:paperSrc w:first="2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ED" w:rsidRDefault="00900AED">
      <w:r>
        <w:separator/>
      </w:r>
    </w:p>
  </w:endnote>
  <w:endnote w:type="continuationSeparator" w:id="0">
    <w:p w:rsidR="00900AED" w:rsidRDefault="0090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BE" w:rsidRDefault="00900AED" w:rsidP="00945056">
    <w:pPr>
      <w:pStyle w:val="Piedepgina"/>
      <w:rPr>
        <w:rFonts w:ascii="Tahoma" w:hAnsi="Tahoma" w:cs="Tahoma"/>
        <w:sz w:val="18"/>
        <w:szCs w:val="18"/>
        <w:lang w:val="fr-FR"/>
      </w:rPr>
    </w:pPr>
  </w:p>
  <w:p w:rsidR="001438BE" w:rsidRDefault="00900AED" w:rsidP="00945056">
    <w:pPr>
      <w:pStyle w:val="Piedepgina"/>
      <w:rPr>
        <w:rFonts w:ascii="Tahoma" w:hAnsi="Tahoma" w:cs="Tahoma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ED" w:rsidRDefault="00900AED">
      <w:r>
        <w:separator/>
      </w:r>
    </w:p>
  </w:footnote>
  <w:footnote w:type="continuationSeparator" w:id="0">
    <w:p w:rsidR="00900AED" w:rsidRDefault="00900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946"/>
      <w:gridCol w:w="5808"/>
    </w:tblGrid>
    <w:tr w:rsidR="00A941E9" w:rsidRPr="0024197D" w:rsidTr="00A941E9">
      <w:trPr>
        <w:jc w:val="center"/>
      </w:trPr>
      <w:tc>
        <w:tcPr>
          <w:tcW w:w="2946" w:type="dxa"/>
          <w:vMerge w:val="restart"/>
          <w:vAlign w:val="center"/>
        </w:tcPr>
        <w:p w:rsidR="00A941E9" w:rsidRPr="0024197D" w:rsidRDefault="00A941E9" w:rsidP="00E7298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BC9FF84" wp14:editId="4F5C3CA0">
                <wp:extent cx="1704975" cy="494443"/>
                <wp:effectExtent l="19050" t="0" r="9525" b="0"/>
                <wp:docPr id="1" name="Imagen 1" descr="Archivo:Logo telecaribe El Informa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chivo:Logo telecaribe El Informa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401" cy="496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8" w:type="dxa"/>
          <w:vAlign w:val="center"/>
        </w:tcPr>
        <w:p w:rsidR="00A941E9" w:rsidRPr="001E37AC" w:rsidRDefault="00A941E9" w:rsidP="00E7298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1E37AC">
            <w:rPr>
              <w:rFonts w:ascii="Arial" w:hAnsi="Arial" w:cs="Arial"/>
              <w:sz w:val="18"/>
              <w:szCs w:val="18"/>
            </w:rPr>
            <w:t>CANAL REGIONAL DE TELEVISION DEL CARIBE LTDA. – TELECARIBE</w:t>
          </w:r>
        </w:p>
      </w:tc>
    </w:tr>
    <w:tr w:rsidR="00A941E9" w:rsidRPr="0024197D" w:rsidTr="00A941E9">
      <w:trPr>
        <w:jc w:val="center"/>
      </w:trPr>
      <w:tc>
        <w:tcPr>
          <w:tcW w:w="2946" w:type="dxa"/>
          <w:vMerge/>
          <w:vAlign w:val="center"/>
        </w:tcPr>
        <w:p w:rsidR="00A941E9" w:rsidRPr="0024197D" w:rsidRDefault="00A941E9" w:rsidP="00E7298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5808" w:type="dxa"/>
          <w:vAlign w:val="center"/>
        </w:tcPr>
        <w:p w:rsidR="00A941E9" w:rsidRPr="00A941E9" w:rsidRDefault="00A941E9" w:rsidP="00E72989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A941E9">
            <w:rPr>
              <w:rFonts w:ascii="Arial" w:hAnsi="Arial" w:cs="Arial"/>
              <w:sz w:val="18"/>
              <w:szCs w:val="18"/>
            </w:rPr>
            <w:t xml:space="preserve">OBJETO: </w:t>
          </w:r>
          <w:r w:rsidRPr="00A941E9">
            <w:rPr>
              <w:rFonts w:ascii="Arial" w:hAnsi="Arial" w:cs="Arial"/>
              <w:bCs/>
              <w:sz w:val="18"/>
              <w:szCs w:val="18"/>
              <w:lang w:val="es-MX"/>
            </w:rPr>
            <w:t xml:space="preserve">Prestar los servicios de producción y equipo técnico para la </w:t>
          </w:r>
          <w:r w:rsidRPr="00A941E9">
            <w:rPr>
              <w:rFonts w:ascii="Arial" w:hAnsi="Arial" w:cs="Arial"/>
              <w:sz w:val="18"/>
              <w:szCs w:val="18"/>
              <w:lang w:eastAsia="en-US"/>
            </w:rPr>
            <w:t xml:space="preserve">transmisión en directo durante </w:t>
          </w:r>
          <w:r w:rsidRPr="00A941E9">
            <w:rPr>
              <w:rFonts w:ascii="Arial" w:hAnsi="Arial" w:cs="Arial"/>
              <w:sz w:val="18"/>
              <w:szCs w:val="18"/>
            </w:rPr>
            <w:t>el  “</w:t>
          </w:r>
          <w:r w:rsidRPr="00A941E9">
            <w:rPr>
              <w:rFonts w:ascii="Arial" w:hAnsi="Arial" w:cs="Arial"/>
              <w:sz w:val="18"/>
              <w:szCs w:val="18"/>
              <w:shd w:val="clear" w:color="auto" w:fill="FFFFFF"/>
            </w:rPr>
            <w:t>FESTIVAL FRANCISCO EL HOMBRE”  el 22</w:t>
          </w:r>
          <w:r w:rsidRPr="00A941E9">
            <w:rPr>
              <w:rFonts w:ascii="Arial" w:hAnsi="Arial" w:cs="Arial"/>
              <w:bCs/>
              <w:sz w:val="18"/>
              <w:szCs w:val="18"/>
              <w:lang w:eastAsia="en-US"/>
            </w:rPr>
            <w:t xml:space="preserve"> de marzo de  2015.</w:t>
          </w:r>
        </w:p>
        <w:p w:rsidR="00A941E9" w:rsidRPr="00A941E9" w:rsidRDefault="00A941E9" w:rsidP="00E72989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1438BE" w:rsidRPr="00AD780D" w:rsidRDefault="00900AED" w:rsidP="00945056">
    <w:pPr>
      <w:pStyle w:val="Encabezado"/>
      <w:jc w:val="both"/>
      <w:rPr>
        <w:rFonts w:ascii="Arial" w:hAnsi="Arial" w:cs="Arial"/>
        <w:b/>
        <w:bCs/>
        <w:noProof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68"/>
    <w:rsid w:val="00056A9A"/>
    <w:rsid w:val="00110A4E"/>
    <w:rsid w:val="00177BF6"/>
    <w:rsid w:val="00213B86"/>
    <w:rsid w:val="00303C49"/>
    <w:rsid w:val="00307A68"/>
    <w:rsid w:val="003511F4"/>
    <w:rsid w:val="004D05A2"/>
    <w:rsid w:val="00621454"/>
    <w:rsid w:val="0067664F"/>
    <w:rsid w:val="006F071D"/>
    <w:rsid w:val="00826EBE"/>
    <w:rsid w:val="00827211"/>
    <w:rsid w:val="00854F4A"/>
    <w:rsid w:val="00857EFE"/>
    <w:rsid w:val="00900AED"/>
    <w:rsid w:val="009C236F"/>
    <w:rsid w:val="00A941E9"/>
    <w:rsid w:val="00AB4755"/>
    <w:rsid w:val="00C26788"/>
    <w:rsid w:val="00CA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68"/>
    <w:rPr>
      <w:rFonts w:ascii="Times New Roman" w:eastAsia="Calibri" w:hAnsi="Times New Roman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,h8,h9,h10,h18, Car,Encabezado 1,Encabezado 2,he"/>
    <w:basedOn w:val="Normal"/>
    <w:link w:val="EncabezadoCar"/>
    <w:uiPriority w:val="99"/>
    <w:rsid w:val="0030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h Car,h8 Car,h9 Car,h10 Car,h18 Car, Car Car,Encabezado 1 Car,Encabezado 2 Car,he Car"/>
    <w:basedOn w:val="Fuentedeprrafopredeter"/>
    <w:link w:val="Encabezado"/>
    <w:uiPriority w:val="99"/>
    <w:rsid w:val="00307A68"/>
    <w:rPr>
      <w:rFonts w:ascii="Times New Roman" w:eastAsia="Calibri" w:hAnsi="Times New Roman" w:cs="Times New Roman"/>
      <w:lang w:val="es-CO" w:eastAsia="es-CO"/>
    </w:rPr>
  </w:style>
  <w:style w:type="paragraph" w:styleId="Piedepgina">
    <w:name w:val="footer"/>
    <w:basedOn w:val="Normal"/>
    <w:link w:val="PiedepginaCar"/>
    <w:semiHidden/>
    <w:rsid w:val="0030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07A68"/>
    <w:rPr>
      <w:rFonts w:ascii="Times New Roman" w:eastAsia="Calibri" w:hAnsi="Times New Roman" w:cs="Times New Roman"/>
      <w:lang w:val="es-CO" w:eastAsia="es-CO"/>
    </w:rPr>
  </w:style>
  <w:style w:type="paragraph" w:customStyle="1" w:styleId="Default">
    <w:name w:val="Default"/>
    <w:rsid w:val="00307A68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s-AR" w:eastAsia="es-AR"/>
    </w:rPr>
  </w:style>
  <w:style w:type="character" w:styleId="Hipervnculo">
    <w:name w:val="Hyperlink"/>
    <w:basedOn w:val="Fuentedeprrafopredeter"/>
    <w:uiPriority w:val="99"/>
    <w:rsid w:val="00307A6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07A68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307A68"/>
    <w:pPr>
      <w:tabs>
        <w:tab w:val="left" w:pos="0"/>
        <w:tab w:val="left" w:pos="705"/>
      </w:tabs>
      <w:jc w:val="both"/>
    </w:pPr>
    <w:rPr>
      <w:rFonts w:ascii="Arial" w:eastAsia="Times New Roman" w:hAnsi="Arial"/>
      <w:lang w:val="es-ES_tradnl" w:eastAsia="es-ES"/>
    </w:rPr>
  </w:style>
  <w:style w:type="paragraph" w:styleId="NormalWeb">
    <w:name w:val="Normal (Web)"/>
    <w:basedOn w:val="Normal"/>
    <w:uiPriority w:val="99"/>
    <w:rsid w:val="00307A68"/>
    <w:pPr>
      <w:spacing w:before="100" w:beforeAutospacing="1" w:after="119"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A6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A68"/>
    <w:rPr>
      <w:rFonts w:ascii="Lucida Grande" w:eastAsia="Calibri" w:hAnsi="Lucida Grande" w:cs="Lucida Grande"/>
      <w:sz w:val="18"/>
      <w:szCs w:val="18"/>
      <w:lang w:val="es-CO" w:eastAsia="es-CO"/>
    </w:rPr>
  </w:style>
  <w:style w:type="paragraph" w:styleId="Sinespaciado">
    <w:name w:val="No Spacing"/>
    <w:uiPriority w:val="1"/>
    <w:qFormat/>
    <w:rsid w:val="00A941E9"/>
    <w:rPr>
      <w:rFonts w:ascii="Times New Roman" w:eastAsia="Calibri" w:hAnsi="Times New Roman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68"/>
    <w:rPr>
      <w:rFonts w:ascii="Times New Roman" w:eastAsia="Calibri" w:hAnsi="Times New Roman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,h8,h9,h10,h18, Car,Encabezado 1,Encabezado 2,he"/>
    <w:basedOn w:val="Normal"/>
    <w:link w:val="EncabezadoCar"/>
    <w:uiPriority w:val="99"/>
    <w:rsid w:val="00307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h Car,h8 Car,h9 Car,h10 Car,h18 Car, Car Car,Encabezado 1 Car,Encabezado 2 Car,he Car"/>
    <w:basedOn w:val="Fuentedeprrafopredeter"/>
    <w:link w:val="Encabezado"/>
    <w:uiPriority w:val="99"/>
    <w:rsid w:val="00307A68"/>
    <w:rPr>
      <w:rFonts w:ascii="Times New Roman" w:eastAsia="Calibri" w:hAnsi="Times New Roman" w:cs="Times New Roman"/>
      <w:lang w:val="es-CO" w:eastAsia="es-CO"/>
    </w:rPr>
  </w:style>
  <w:style w:type="paragraph" w:styleId="Piedepgina">
    <w:name w:val="footer"/>
    <w:basedOn w:val="Normal"/>
    <w:link w:val="PiedepginaCar"/>
    <w:semiHidden/>
    <w:rsid w:val="00307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07A68"/>
    <w:rPr>
      <w:rFonts w:ascii="Times New Roman" w:eastAsia="Calibri" w:hAnsi="Times New Roman" w:cs="Times New Roman"/>
      <w:lang w:val="es-CO" w:eastAsia="es-CO"/>
    </w:rPr>
  </w:style>
  <w:style w:type="paragraph" w:customStyle="1" w:styleId="Default">
    <w:name w:val="Default"/>
    <w:rsid w:val="00307A68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s-AR" w:eastAsia="es-AR"/>
    </w:rPr>
  </w:style>
  <w:style w:type="character" w:styleId="Hipervnculo">
    <w:name w:val="Hyperlink"/>
    <w:basedOn w:val="Fuentedeprrafopredeter"/>
    <w:uiPriority w:val="99"/>
    <w:rsid w:val="00307A6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07A68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307A68"/>
    <w:pPr>
      <w:tabs>
        <w:tab w:val="left" w:pos="0"/>
        <w:tab w:val="left" w:pos="705"/>
      </w:tabs>
      <w:jc w:val="both"/>
    </w:pPr>
    <w:rPr>
      <w:rFonts w:ascii="Arial" w:eastAsia="Times New Roman" w:hAnsi="Arial"/>
      <w:lang w:val="es-ES_tradnl" w:eastAsia="es-ES"/>
    </w:rPr>
  </w:style>
  <w:style w:type="paragraph" w:styleId="NormalWeb">
    <w:name w:val="Normal (Web)"/>
    <w:basedOn w:val="Normal"/>
    <w:uiPriority w:val="99"/>
    <w:rsid w:val="00307A68"/>
    <w:pPr>
      <w:spacing w:before="100" w:beforeAutospacing="1" w:after="119"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A6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A68"/>
    <w:rPr>
      <w:rFonts w:ascii="Lucida Grande" w:eastAsia="Calibri" w:hAnsi="Lucida Grande" w:cs="Lucida Grande"/>
      <w:sz w:val="18"/>
      <w:szCs w:val="18"/>
      <w:lang w:val="es-CO" w:eastAsia="es-CO"/>
    </w:rPr>
  </w:style>
  <w:style w:type="paragraph" w:styleId="Sinespaciado">
    <w:name w:val="No Spacing"/>
    <w:uiPriority w:val="1"/>
    <w:qFormat/>
    <w:rsid w:val="00A941E9"/>
    <w:rPr>
      <w:rFonts w:ascii="Times New Roman" w:eastAsia="Calibri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 Robinson Molina</dc:creator>
  <cp:lastModifiedBy>Gustavo Santos </cp:lastModifiedBy>
  <cp:revision>7</cp:revision>
  <cp:lastPrinted>2015-02-27T16:04:00Z</cp:lastPrinted>
  <dcterms:created xsi:type="dcterms:W3CDTF">2015-02-27T15:10:00Z</dcterms:created>
  <dcterms:modified xsi:type="dcterms:W3CDTF">2015-02-27T17:18:00Z</dcterms:modified>
</cp:coreProperties>
</file>