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9C" w:rsidRPr="0004405B" w:rsidRDefault="00870A9C">
      <w:pPr>
        <w:rPr>
          <w:rFonts w:ascii="Arial" w:hAnsi="Arial" w:cs="Arial"/>
          <w:sz w:val="22"/>
          <w:szCs w:val="22"/>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087"/>
      </w:tblGrid>
      <w:tr w:rsidR="00C16C22" w:rsidRPr="0004405B" w:rsidTr="0004405B">
        <w:tc>
          <w:tcPr>
            <w:tcW w:w="2410" w:type="dxa"/>
          </w:tcPr>
          <w:p w:rsidR="0091551E" w:rsidRPr="0004405B" w:rsidRDefault="0091551E" w:rsidP="00C16C22">
            <w:pPr>
              <w:rPr>
                <w:rFonts w:ascii="Arial" w:hAnsi="Arial" w:cs="Arial"/>
                <w:sz w:val="22"/>
                <w:szCs w:val="22"/>
              </w:rPr>
            </w:pPr>
          </w:p>
          <w:p w:rsidR="00C16C22" w:rsidRPr="0004405B" w:rsidRDefault="0091551E" w:rsidP="00C16C22">
            <w:pPr>
              <w:rPr>
                <w:rFonts w:ascii="Arial" w:hAnsi="Arial" w:cs="Arial"/>
                <w:sz w:val="22"/>
                <w:szCs w:val="22"/>
              </w:rPr>
            </w:pPr>
            <w:r w:rsidRPr="0004405B">
              <w:rPr>
                <w:rFonts w:ascii="Arial" w:hAnsi="Arial" w:cs="Arial"/>
                <w:sz w:val="22"/>
                <w:szCs w:val="22"/>
              </w:rPr>
              <w:t>D</w:t>
            </w:r>
            <w:r w:rsidR="00C16C22" w:rsidRPr="0004405B">
              <w:rPr>
                <w:rFonts w:ascii="Arial" w:hAnsi="Arial" w:cs="Arial"/>
                <w:sz w:val="22"/>
                <w:szCs w:val="22"/>
              </w:rPr>
              <w:t xml:space="preserve">escripción de la necesidad </w:t>
            </w:r>
          </w:p>
        </w:tc>
        <w:tc>
          <w:tcPr>
            <w:tcW w:w="7087" w:type="dxa"/>
          </w:tcPr>
          <w:p w:rsidR="00332500" w:rsidRPr="0004405B" w:rsidRDefault="00332500" w:rsidP="00C16C22">
            <w:pPr>
              <w:rPr>
                <w:rFonts w:ascii="Arial" w:hAnsi="Arial" w:cs="Arial"/>
                <w:sz w:val="22"/>
                <w:szCs w:val="22"/>
              </w:rPr>
            </w:pPr>
          </w:p>
          <w:p w:rsidR="000E7AFB" w:rsidRPr="0004405B" w:rsidRDefault="000E7AFB" w:rsidP="000E7AFB">
            <w:pPr>
              <w:pStyle w:val="Default"/>
              <w:jc w:val="both"/>
              <w:rPr>
                <w:rFonts w:ascii="Arial" w:hAnsi="Arial" w:cs="Arial"/>
                <w:sz w:val="22"/>
                <w:szCs w:val="22"/>
                <w:lang w:val="es-ES"/>
              </w:rPr>
            </w:pPr>
            <w:r w:rsidRPr="0004405B">
              <w:rPr>
                <w:rFonts w:ascii="Arial" w:hAnsi="Arial" w:cs="Arial"/>
                <w:sz w:val="22"/>
                <w:szCs w:val="22"/>
                <w:lang w:val="es-ES"/>
              </w:rPr>
              <w:t>El Canal Regional del Caribe dirige sus esfuerzos para la modernización de todo su flujo de trabajo, en la ampliación de su capacidad de producción y en la prestación de servicios. El canal cuenta con un estudio de producción de (300) trescientos metros cuadrados más dos nuevos estudios que se encuentran en adecuación en el cual se producirán todos los programas propios y se prestarán servicios a terceros.</w:t>
            </w:r>
          </w:p>
          <w:p w:rsidR="000E7AFB" w:rsidRPr="0004405B" w:rsidRDefault="000E7AFB" w:rsidP="000E7AFB">
            <w:pPr>
              <w:pStyle w:val="Default"/>
              <w:jc w:val="both"/>
              <w:rPr>
                <w:rFonts w:ascii="Arial" w:hAnsi="Arial" w:cs="Arial"/>
                <w:sz w:val="22"/>
                <w:szCs w:val="22"/>
                <w:lang w:val="es-ES"/>
              </w:rPr>
            </w:pPr>
          </w:p>
          <w:p w:rsidR="000E7AFB" w:rsidRPr="0004405B" w:rsidRDefault="000E7AFB" w:rsidP="000E7AFB">
            <w:pPr>
              <w:pStyle w:val="Default"/>
              <w:jc w:val="both"/>
              <w:rPr>
                <w:rFonts w:ascii="Arial" w:hAnsi="Arial" w:cs="Arial"/>
                <w:sz w:val="22"/>
                <w:szCs w:val="22"/>
                <w:lang w:val="es-ES"/>
              </w:rPr>
            </w:pPr>
            <w:r w:rsidRPr="0004405B">
              <w:rPr>
                <w:rFonts w:ascii="Arial" w:hAnsi="Arial" w:cs="Arial"/>
                <w:sz w:val="22"/>
                <w:szCs w:val="22"/>
                <w:lang w:val="es-ES"/>
              </w:rPr>
              <w:t>Es necesario que Telecaribe fortalezca su infraestructura electrónica de producción, que permita la realización de productos audiovisuales en formato de alta definición y que ofrezca toda la flexibilidad de poder producir desde cualquiera de los tres estudios con solo hacer algunas maniobras simples de enrutamiento y poder incorporar las últimas técnicas de producción de televisión basadas en tecnología de punta. Telecaribe cuenta con un máster de producción el cuál será remodelado en toda su electrónica, incluyendo equipo de mezcla de video, sistema de enrutamiento y monitoreo. Adicionalmente se habilitará un área donde se concentrará toda la electrónica de producción.</w:t>
            </w:r>
          </w:p>
          <w:p w:rsidR="00D13456" w:rsidRPr="0004405B" w:rsidRDefault="00AF161A" w:rsidP="00AF161A">
            <w:pPr>
              <w:jc w:val="both"/>
              <w:rPr>
                <w:rFonts w:ascii="Arial" w:hAnsi="Arial" w:cs="Arial"/>
                <w:sz w:val="22"/>
                <w:szCs w:val="22"/>
                <w:lang w:val="es-CO"/>
              </w:rPr>
            </w:pPr>
            <w:r w:rsidRPr="0004405B">
              <w:rPr>
                <w:rFonts w:ascii="Arial" w:hAnsi="Arial" w:cs="Arial"/>
                <w:sz w:val="22"/>
                <w:szCs w:val="22"/>
              </w:rPr>
              <w:t xml:space="preserve"> </w:t>
            </w:r>
            <w:r w:rsidR="00A94E27" w:rsidRPr="0004405B">
              <w:rPr>
                <w:rFonts w:ascii="Arial" w:hAnsi="Arial" w:cs="Arial"/>
                <w:sz w:val="22"/>
                <w:szCs w:val="22"/>
              </w:rPr>
              <w:t xml:space="preserve"> </w:t>
            </w:r>
          </w:p>
        </w:tc>
      </w:tr>
      <w:tr w:rsidR="00C16C22" w:rsidRPr="0004405B" w:rsidTr="0004405B">
        <w:tc>
          <w:tcPr>
            <w:tcW w:w="2410" w:type="dxa"/>
          </w:tcPr>
          <w:p w:rsidR="0091551E" w:rsidRPr="0004405B" w:rsidRDefault="0091551E" w:rsidP="00C16C22">
            <w:pPr>
              <w:rPr>
                <w:rFonts w:ascii="Arial" w:hAnsi="Arial" w:cs="Arial"/>
                <w:sz w:val="22"/>
                <w:szCs w:val="22"/>
              </w:rPr>
            </w:pPr>
          </w:p>
          <w:p w:rsidR="00C16C22" w:rsidRPr="0004405B" w:rsidRDefault="00C16C22" w:rsidP="00C16C22">
            <w:pPr>
              <w:rPr>
                <w:rFonts w:ascii="Arial" w:hAnsi="Arial" w:cs="Arial"/>
                <w:sz w:val="22"/>
                <w:szCs w:val="22"/>
              </w:rPr>
            </w:pPr>
            <w:r w:rsidRPr="0004405B">
              <w:rPr>
                <w:rFonts w:ascii="Arial" w:hAnsi="Arial" w:cs="Arial"/>
                <w:sz w:val="22"/>
                <w:szCs w:val="22"/>
              </w:rPr>
              <w:t>Descripción del objeto a contratar</w:t>
            </w:r>
            <w:r w:rsidR="00FB2533" w:rsidRPr="0004405B">
              <w:rPr>
                <w:rFonts w:ascii="Arial" w:hAnsi="Arial" w:cs="Arial"/>
                <w:sz w:val="22"/>
                <w:szCs w:val="22"/>
              </w:rPr>
              <w:t xml:space="preserve"> </w:t>
            </w:r>
          </w:p>
        </w:tc>
        <w:tc>
          <w:tcPr>
            <w:tcW w:w="7087" w:type="dxa"/>
          </w:tcPr>
          <w:p w:rsidR="0091551E" w:rsidRPr="0004405B" w:rsidRDefault="0091551E" w:rsidP="00620D23">
            <w:pPr>
              <w:jc w:val="both"/>
              <w:rPr>
                <w:rFonts w:ascii="Arial" w:hAnsi="Arial" w:cs="Arial"/>
                <w:sz w:val="22"/>
                <w:szCs w:val="22"/>
              </w:rPr>
            </w:pPr>
          </w:p>
          <w:p w:rsidR="000E7AFB" w:rsidRPr="0004405B" w:rsidRDefault="000E7AFB" w:rsidP="000E7AFB">
            <w:pPr>
              <w:pStyle w:val="Default"/>
              <w:jc w:val="both"/>
              <w:rPr>
                <w:rFonts w:ascii="Arial" w:hAnsi="Arial" w:cs="Arial"/>
                <w:sz w:val="22"/>
                <w:szCs w:val="22"/>
                <w:lang w:val="es-ES"/>
              </w:rPr>
            </w:pPr>
            <w:r w:rsidRPr="0004405B">
              <w:rPr>
                <w:rFonts w:ascii="Arial" w:hAnsi="Arial" w:cs="Arial"/>
                <w:b/>
                <w:sz w:val="22"/>
                <w:szCs w:val="22"/>
                <w:lang w:val="es-ES"/>
              </w:rPr>
              <w:t xml:space="preserve">FORTALECIMIENTO DE LA INFRAESTRUCTURA ELECTRÓNICA DE PRODUCCIÓN DEL CANAL REGIONAL TELECARIBE </w:t>
            </w:r>
            <w:r w:rsidRPr="0004405B">
              <w:rPr>
                <w:rFonts w:ascii="Arial" w:hAnsi="Arial" w:cs="Arial"/>
                <w:sz w:val="22"/>
                <w:szCs w:val="22"/>
                <w:lang w:val="es-ES"/>
              </w:rPr>
              <w:t>Con las siguientes especificaciones:</w:t>
            </w:r>
          </w:p>
          <w:p w:rsidR="000E7AFB" w:rsidRPr="0004405B" w:rsidRDefault="000E7AFB" w:rsidP="000E7AFB">
            <w:pPr>
              <w:pStyle w:val="Default"/>
              <w:jc w:val="both"/>
              <w:rPr>
                <w:rFonts w:ascii="Arial" w:hAnsi="Arial" w:cs="Arial"/>
                <w:sz w:val="22"/>
                <w:szCs w:val="22"/>
                <w:lang w:val="es-ES"/>
              </w:rPr>
            </w:pPr>
          </w:p>
          <w:p w:rsidR="000E7AFB" w:rsidRPr="0004405B" w:rsidRDefault="000E7AFB" w:rsidP="000E7AFB">
            <w:pPr>
              <w:pStyle w:val="Default"/>
              <w:jc w:val="both"/>
              <w:rPr>
                <w:rFonts w:ascii="Arial" w:hAnsi="Arial" w:cs="Arial"/>
                <w:sz w:val="22"/>
                <w:szCs w:val="22"/>
                <w:lang w:val="es-ES"/>
              </w:rPr>
            </w:pPr>
            <w:r w:rsidRPr="0004405B">
              <w:rPr>
                <w:rFonts w:ascii="Arial" w:hAnsi="Arial" w:cs="Arial"/>
                <w:sz w:val="22"/>
                <w:szCs w:val="22"/>
                <w:lang w:val="es-ES"/>
              </w:rPr>
              <w:t>La infraestructura electrónica proyectada para el Canal Regional Telecaribe deberá permitir la producción desde cualquiera de los tres estudios con el máster de producción actual. Inicialmente se solicitará el cableado de audio y video de los estudios 1 y 2, el cableado del estudio tres se realizará en una segunda fase del proyecto, al igual que la instalación de un segundo máster para producciones simultáneas.</w:t>
            </w:r>
          </w:p>
          <w:p w:rsidR="000E7AFB" w:rsidRPr="0004405B" w:rsidRDefault="000E7AFB" w:rsidP="000E7AFB">
            <w:pPr>
              <w:pStyle w:val="Default"/>
              <w:jc w:val="both"/>
              <w:rPr>
                <w:rFonts w:ascii="Arial" w:hAnsi="Arial" w:cs="Arial"/>
                <w:sz w:val="22"/>
                <w:szCs w:val="22"/>
                <w:lang w:val="es-ES"/>
              </w:rPr>
            </w:pPr>
          </w:p>
          <w:p w:rsidR="000E7AFB" w:rsidRPr="0004405B" w:rsidRDefault="000E7AFB" w:rsidP="000E7AFB">
            <w:pPr>
              <w:pStyle w:val="Default"/>
              <w:jc w:val="both"/>
              <w:rPr>
                <w:rFonts w:ascii="Arial" w:hAnsi="Arial" w:cs="Arial"/>
                <w:sz w:val="22"/>
                <w:szCs w:val="22"/>
                <w:lang w:val="es-ES"/>
              </w:rPr>
            </w:pPr>
            <w:r w:rsidRPr="0004405B">
              <w:rPr>
                <w:rFonts w:ascii="Arial" w:hAnsi="Arial" w:cs="Arial"/>
                <w:sz w:val="22"/>
                <w:szCs w:val="22"/>
                <w:lang w:val="es-ES"/>
              </w:rPr>
              <w:t>El contratista sólo considerará suministro e instalación de los equipos, cableado y sus accesorios de fijación, debido a que las bandejas portacables ya están instaladas entre los estudios al igual que los racks para soporte de los equipos.</w:t>
            </w:r>
          </w:p>
          <w:p w:rsidR="000E7AFB" w:rsidRPr="0004405B" w:rsidRDefault="000E7AFB" w:rsidP="000E7AFB">
            <w:pPr>
              <w:pStyle w:val="Default"/>
              <w:jc w:val="both"/>
              <w:rPr>
                <w:rFonts w:ascii="Arial" w:hAnsi="Arial" w:cs="Arial"/>
                <w:sz w:val="22"/>
                <w:szCs w:val="22"/>
                <w:lang w:val="es-ES"/>
              </w:rPr>
            </w:pPr>
          </w:p>
          <w:p w:rsidR="000E7AFB" w:rsidRPr="0004405B" w:rsidRDefault="000E7AFB" w:rsidP="000E7AFB">
            <w:pPr>
              <w:pStyle w:val="Default"/>
              <w:jc w:val="both"/>
              <w:rPr>
                <w:rFonts w:ascii="Arial" w:hAnsi="Arial" w:cs="Arial"/>
                <w:sz w:val="22"/>
                <w:szCs w:val="22"/>
                <w:lang w:val="es-ES"/>
              </w:rPr>
            </w:pPr>
            <w:r w:rsidRPr="0004405B">
              <w:rPr>
                <w:rFonts w:ascii="Arial" w:hAnsi="Arial" w:cs="Arial"/>
                <w:sz w:val="22"/>
                <w:szCs w:val="22"/>
                <w:lang w:val="es-ES"/>
              </w:rPr>
              <w:t>A continuación se relación el cableado y accesorios requeridos:</w:t>
            </w:r>
          </w:p>
          <w:p w:rsidR="000E7AFB" w:rsidRPr="0004405B" w:rsidRDefault="000E7AFB" w:rsidP="000E7AFB">
            <w:pPr>
              <w:pStyle w:val="Default"/>
              <w:jc w:val="both"/>
              <w:rPr>
                <w:rFonts w:ascii="Arial" w:hAnsi="Arial" w:cs="Arial"/>
                <w:sz w:val="22"/>
                <w:szCs w:val="22"/>
                <w:lang w:val="es-ES"/>
              </w:rPr>
            </w:pPr>
          </w:p>
          <w:p w:rsidR="000E7AFB" w:rsidRPr="0004405B" w:rsidRDefault="000E7AFB" w:rsidP="000E7AFB">
            <w:pPr>
              <w:pStyle w:val="Default"/>
              <w:jc w:val="both"/>
              <w:rPr>
                <w:rFonts w:ascii="Arial" w:hAnsi="Arial" w:cs="Arial"/>
                <w:sz w:val="22"/>
                <w:szCs w:val="22"/>
                <w:lang w:val="es-ES"/>
              </w:rPr>
            </w:pPr>
          </w:p>
          <w:p w:rsidR="000E7AFB" w:rsidRPr="0004405B" w:rsidRDefault="000E7AFB" w:rsidP="000E7AFB">
            <w:pPr>
              <w:pStyle w:val="Default"/>
              <w:jc w:val="both"/>
              <w:rPr>
                <w:rFonts w:ascii="Arial" w:hAnsi="Arial" w:cs="Arial"/>
                <w:sz w:val="22"/>
                <w:szCs w:val="22"/>
                <w:lang w:val="es-ES"/>
              </w:rPr>
            </w:pPr>
          </w:p>
          <w:p w:rsidR="000E7AFB" w:rsidRPr="0004405B" w:rsidRDefault="000E7AFB" w:rsidP="000E7AFB">
            <w:pPr>
              <w:pStyle w:val="Default"/>
              <w:jc w:val="both"/>
              <w:rPr>
                <w:rFonts w:ascii="Arial" w:hAnsi="Arial" w:cs="Arial"/>
                <w:sz w:val="22"/>
                <w:szCs w:val="22"/>
                <w:lang w:val="es-ES"/>
              </w:rPr>
            </w:pPr>
          </w:p>
          <w:p w:rsidR="000E7AFB" w:rsidRPr="0004405B" w:rsidRDefault="000E7AFB" w:rsidP="000E7AFB">
            <w:pPr>
              <w:contextualSpacing/>
              <w:jc w:val="both"/>
              <w:rPr>
                <w:rFonts w:ascii="Arial" w:hAnsi="Arial" w:cs="Arial"/>
                <w:sz w:val="22"/>
                <w:szCs w:val="22"/>
              </w:rPr>
            </w:pPr>
            <w:r w:rsidRPr="0004405B">
              <w:rPr>
                <w:rFonts w:ascii="Arial" w:hAnsi="Arial" w:cs="Arial"/>
                <w:sz w:val="22"/>
                <w:szCs w:val="22"/>
              </w:rPr>
              <w:t xml:space="preserve">3.1 </w:t>
            </w:r>
            <w:r w:rsidRPr="0004405B">
              <w:rPr>
                <w:rFonts w:ascii="Arial" w:hAnsi="Arial" w:cs="Arial"/>
                <w:b/>
                <w:sz w:val="22"/>
                <w:szCs w:val="22"/>
              </w:rPr>
              <w:t xml:space="preserve">Suministro e instalación de cableado de audio y video para los estudios 1 y 2 de Telecaribe, como lo muestran las siguientes </w:t>
            </w:r>
            <w:r w:rsidRPr="0004405B">
              <w:rPr>
                <w:rFonts w:ascii="Arial" w:hAnsi="Arial" w:cs="Arial"/>
                <w:b/>
                <w:sz w:val="22"/>
                <w:szCs w:val="22"/>
              </w:rPr>
              <w:lastRenderedPageBreak/>
              <w:t>tablas:</w:t>
            </w:r>
          </w:p>
          <w:tbl>
            <w:tblPr>
              <w:tblW w:w="8868" w:type="dxa"/>
              <w:tblInd w:w="55" w:type="dxa"/>
              <w:tblLayout w:type="fixed"/>
              <w:tblCellMar>
                <w:left w:w="70" w:type="dxa"/>
                <w:right w:w="70" w:type="dxa"/>
              </w:tblCellMar>
              <w:tblLook w:val="04A0"/>
            </w:tblPr>
            <w:tblGrid>
              <w:gridCol w:w="4254"/>
              <w:gridCol w:w="1159"/>
              <w:gridCol w:w="1755"/>
              <w:gridCol w:w="1700"/>
            </w:tblGrid>
            <w:tr w:rsidR="000E7AFB" w:rsidRPr="0004405B" w:rsidTr="000E7AFB">
              <w:trPr>
                <w:trHeight w:val="300"/>
              </w:trPr>
              <w:tc>
                <w:tcPr>
                  <w:tcW w:w="4254"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Cableado estudio 1</w:t>
                  </w:r>
                </w:p>
              </w:tc>
              <w:tc>
                <w:tcPr>
                  <w:tcW w:w="1159" w:type="dxa"/>
                  <w:tcBorders>
                    <w:top w:val="nil"/>
                    <w:left w:val="nil"/>
                    <w:bottom w:val="nil"/>
                    <w:right w:val="nil"/>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p>
              </w:tc>
              <w:tc>
                <w:tcPr>
                  <w:tcW w:w="1755"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tc>
              <w:tc>
                <w:tcPr>
                  <w:tcW w:w="1700"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tc>
            </w:tr>
            <w:tr w:rsidR="000E7AFB" w:rsidRPr="0004405B" w:rsidTr="000E7AFB">
              <w:trPr>
                <w:gridAfter w:val="2"/>
                <w:wAfter w:w="3455" w:type="dxa"/>
                <w:trHeight w:val="300"/>
              </w:trPr>
              <w:tc>
                <w:tcPr>
                  <w:tcW w:w="425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Descripción</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Cantidad</w:t>
                  </w:r>
                </w:p>
              </w:tc>
            </w:tr>
            <w:tr w:rsidR="000E7AFB" w:rsidRPr="0004405B" w:rsidTr="000E7AFB">
              <w:trPr>
                <w:gridAfter w:val="2"/>
                <w:wAfter w:w="3455" w:type="dxa"/>
                <w:trHeight w:val="9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Caja Distribución estudio Triaxial, audio retornos, 5 Triax, 12BNC, 20 audio (10 M X 10F)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Cable Triaxial 5 Cámaras</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145 mts</w:t>
                  </w:r>
                </w:p>
              </w:tc>
            </w:tr>
            <w:tr w:rsidR="000E7AFB" w:rsidRPr="0004405B" w:rsidTr="000E7AFB">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0E7AFB" w:rsidRPr="0004405B" w:rsidRDefault="000E7AFB" w:rsidP="007517C3">
                  <w:pPr>
                    <w:rPr>
                      <w:rFonts w:ascii="Arial" w:hAnsi="Arial" w:cs="Arial"/>
                      <w:color w:val="000000"/>
                      <w:sz w:val="22"/>
                      <w:szCs w:val="22"/>
                      <w:lang w:val="en-US" w:eastAsia="es-ES"/>
                    </w:rPr>
                  </w:pPr>
                  <w:r w:rsidRPr="0004405B">
                    <w:rPr>
                      <w:rFonts w:ascii="Arial" w:hAnsi="Arial" w:cs="Arial"/>
                      <w:color w:val="000000"/>
                      <w:sz w:val="22"/>
                      <w:szCs w:val="22"/>
                      <w:lang w:val="en-US" w:eastAsia="es-ES"/>
                    </w:rPr>
                    <w:t>Cable coaxial video 2 PGM 4 auxiliares 4 in/out 4PGM, 4 Matriz, 4 Patch Panel</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348 mts</w:t>
                  </w:r>
                </w:p>
              </w:tc>
            </w:tr>
            <w:tr w:rsidR="000E7AFB" w:rsidRPr="0004405B" w:rsidTr="000E7AFB">
              <w:trPr>
                <w:gridAfter w:val="2"/>
                <w:wAfter w:w="3455" w:type="dxa"/>
                <w:trHeight w:val="9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Cable Audio estudio para 8 micrófonos, 2 intercom, 5 auxiliares, 5 in/out, </w:t>
                  </w:r>
                  <w:r w:rsidRPr="0004405B">
                    <w:rPr>
                      <w:rFonts w:ascii="Arial" w:hAnsi="Arial" w:cs="Arial"/>
                      <w:color w:val="000000"/>
                      <w:sz w:val="22"/>
                      <w:szCs w:val="22"/>
                      <w:lang w:val="es-ES" w:eastAsia="es-ES"/>
                    </w:rPr>
                    <w:br/>
                    <w:t xml:space="preserve">retorno intercom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580 mts</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triax chasis macho tipo king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5</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Conectores triax chasis hembra tipo king</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10</w:t>
                  </w:r>
                </w:p>
              </w:tc>
            </w:tr>
            <w:tr w:rsidR="000E7AFB" w:rsidRPr="0004405B" w:rsidTr="000E7AFB">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Triax Cámaras Aéreo Patch Cord macho tipo king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5</w:t>
                  </w:r>
                </w:p>
              </w:tc>
            </w:tr>
            <w:tr w:rsidR="000E7AFB" w:rsidRPr="0004405B" w:rsidTr="000E7AFB">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Triax Cámaras Aéreo Patch Cord hembra tipo king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10</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Conector BNC AHPHENOL 31-71008-RG59</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26</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XLR chasis macho switchcraft E3MSC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15</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XLR chasis Hembra switchcraft E3FSC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15</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BNC Chasis MICROLINK 31-220-75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15</w:t>
                  </w:r>
                </w:p>
              </w:tc>
            </w:tr>
            <w:tr w:rsidR="000E7AFB" w:rsidRPr="0004405B" w:rsidTr="000E7AFB">
              <w:trPr>
                <w:gridAfter w:val="2"/>
                <w:wAfter w:w="3455" w:type="dxa"/>
                <w:trHeight w:val="300"/>
              </w:trPr>
              <w:tc>
                <w:tcPr>
                  <w:tcW w:w="4254"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tc>
              <w:tc>
                <w:tcPr>
                  <w:tcW w:w="1159" w:type="dxa"/>
                  <w:tcBorders>
                    <w:top w:val="nil"/>
                    <w:left w:val="nil"/>
                    <w:bottom w:val="nil"/>
                    <w:right w:val="nil"/>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p>
              </w:tc>
            </w:tr>
            <w:tr w:rsidR="000E7AFB" w:rsidRPr="0004405B" w:rsidTr="000E7AFB">
              <w:trPr>
                <w:gridAfter w:val="2"/>
                <w:wAfter w:w="3455" w:type="dxa"/>
                <w:trHeight w:val="300"/>
              </w:trPr>
              <w:tc>
                <w:tcPr>
                  <w:tcW w:w="4254"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tc>
              <w:tc>
                <w:tcPr>
                  <w:tcW w:w="1159" w:type="dxa"/>
                  <w:tcBorders>
                    <w:top w:val="nil"/>
                    <w:left w:val="nil"/>
                    <w:bottom w:val="nil"/>
                    <w:right w:val="nil"/>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p>
              </w:tc>
            </w:tr>
            <w:tr w:rsidR="000E7AFB" w:rsidRPr="0004405B" w:rsidTr="000E7AFB">
              <w:trPr>
                <w:gridAfter w:val="2"/>
                <w:wAfter w:w="3455" w:type="dxa"/>
                <w:trHeight w:val="300"/>
              </w:trPr>
              <w:tc>
                <w:tcPr>
                  <w:tcW w:w="4254"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tc>
              <w:tc>
                <w:tcPr>
                  <w:tcW w:w="1159" w:type="dxa"/>
                  <w:tcBorders>
                    <w:top w:val="nil"/>
                    <w:left w:val="nil"/>
                    <w:bottom w:val="nil"/>
                    <w:right w:val="nil"/>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p>
              </w:tc>
            </w:tr>
          </w:tbl>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center"/>
              <w:rPr>
                <w:rFonts w:ascii="Arial" w:hAnsi="Arial" w:cs="Arial"/>
                <w:sz w:val="22"/>
                <w:szCs w:val="22"/>
              </w:rPr>
            </w:pPr>
          </w:p>
          <w:p w:rsidR="000E7AFB" w:rsidRPr="0004405B" w:rsidRDefault="000E7AFB" w:rsidP="000E7AFB">
            <w:pPr>
              <w:contextualSpacing/>
              <w:jc w:val="both"/>
              <w:rPr>
                <w:rFonts w:ascii="Arial" w:hAnsi="Arial" w:cs="Arial"/>
                <w:sz w:val="22"/>
                <w:szCs w:val="22"/>
              </w:rPr>
            </w:pPr>
          </w:p>
          <w:tbl>
            <w:tblPr>
              <w:tblW w:w="8868" w:type="dxa"/>
              <w:tblLayout w:type="fixed"/>
              <w:tblCellMar>
                <w:left w:w="70" w:type="dxa"/>
                <w:right w:w="70" w:type="dxa"/>
              </w:tblCellMar>
              <w:tblLook w:val="04A0"/>
            </w:tblPr>
            <w:tblGrid>
              <w:gridCol w:w="4254"/>
              <w:gridCol w:w="1159"/>
              <w:gridCol w:w="1755"/>
              <w:gridCol w:w="1700"/>
            </w:tblGrid>
            <w:tr w:rsidR="000E7AFB" w:rsidRPr="0004405B" w:rsidTr="000E7AFB">
              <w:trPr>
                <w:trHeight w:val="300"/>
              </w:trPr>
              <w:tc>
                <w:tcPr>
                  <w:tcW w:w="4254"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lastRenderedPageBreak/>
                    <w:t>Cableado estudio 2</w:t>
                  </w:r>
                </w:p>
              </w:tc>
              <w:tc>
                <w:tcPr>
                  <w:tcW w:w="1159" w:type="dxa"/>
                  <w:tcBorders>
                    <w:top w:val="nil"/>
                    <w:left w:val="nil"/>
                    <w:bottom w:val="nil"/>
                    <w:right w:val="nil"/>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p>
              </w:tc>
              <w:tc>
                <w:tcPr>
                  <w:tcW w:w="1755"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tc>
              <w:tc>
                <w:tcPr>
                  <w:tcW w:w="1700"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tc>
            </w:tr>
            <w:tr w:rsidR="000E7AFB" w:rsidRPr="0004405B" w:rsidTr="000E7AFB">
              <w:trPr>
                <w:gridAfter w:val="2"/>
                <w:wAfter w:w="3455" w:type="dxa"/>
                <w:trHeight w:val="300"/>
              </w:trPr>
              <w:tc>
                <w:tcPr>
                  <w:tcW w:w="425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Descripción</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Cantidad</w:t>
                  </w:r>
                </w:p>
              </w:tc>
            </w:tr>
            <w:tr w:rsidR="000E7AFB" w:rsidRPr="0004405B" w:rsidTr="000E7AFB">
              <w:trPr>
                <w:gridAfter w:val="2"/>
                <w:wAfter w:w="3455" w:type="dxa"/>
                <w:trHeight w:val="9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Caja Distribución estudio Triaxial, audio retornos, 5 Triax, 12BNC, 20 audio (10 M X 10F)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Cable Triaxial 5 Cámaras</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175 mts</w:t>
                  </w:r>
                </w:p>
              </w:tc>
            </w:tr>
            <w:tr w:rsidR="000E7AFB" w:rsidRPr="0004405B" w:rsidTr="000E7AFB">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bottom"/>
                  <w:hideMark/>
                </w:tcPr>
                <w:p w:rsidR="000E7AFB" w:rsidRPr="0004405B" w:rsidRDefault="000E7AFB" w:rsidP="007517C3">
                  <w:pPr>
                    <w:rPr>
                      <w:rFonts w:ascii="Arial" w:hAnsi="Arial" w:cs="Arial"/>
                      <w:color w:val="000000"/>
                      <w:sz w:val="22"/>
                      <w:szCs w:val="22"/>
                      <w:lang w:val="en-US" w:eastAsia="es-ES"/>
                    </w:rPr>
                  </w:pPr>
                  <w:r w:rsidRPr="0004405B">
                    <w:rPr>
                      <w:rFonts w:ascii="Arial" w:hAnsi="Arial" w:cs="Arial"/>
                      <w:color w:val="000000"/>
                      <w:sz w:val="22"/>
                      <w:szCs w:val="22"/>
                      <w:lang w:val="en-US" w:eastAsia="es-ES"/>
                    </w:rPr>
                    <w:t>Cable coaxial video 2 PGM 4 auxiliares 4 in/out 4PGM, 4 Matriz, 4 Patch Panel</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420 mts</w:t>
                  </w:r>
                </w:p>
              </w:tc>
            </w:tr>
            <w:tr w:rsidR="000E7AFB" w:rsidRPr="0004405B" w:rsidTr="000E7AFB">
              <w:trPr>
                <w:gridAfter w:val="2"/>
                <w:wAfter w:w="3455" w:type="dxa"/>
                <w:trHeight w:val="9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Cable Audio estudio para 8 micrófonos, 2 intercom, 5 auxiliares, 5 in/out, </w:t>
                  </w:r>
                  <w:r w:rsidRPr="0004405B">
                    <w:rPr>
                      <w:rFonts w:ascii="Arial" w:hAnsi="Arial" w:cs="Arial"/>
                      <w:color w:val="000000"/>
                      <w:sz w:val="22"/>
                      <w:szCs w:val="22"/>
                      <w:lang w:val="es-ES" w:eastAsia="es-ES"/>
                    </w:rPr>
                    <w:br/>
                    <w:t xml:space="preserve">retorno intercom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700 mts</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triax chasis macho tipo king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5</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Conectores Triax chasis hembra tipo king</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10</w:t>
                  </w:r>
                </w:p>
              </w:tc>
            </w:tr>
            <w:tr w:rsidR="000E7AFB" w:rsidRPr="0004405B" w:rsidTr="000E7AFB">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Triax Cámaras Aéreo Patch Cord macho tipo king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5</w:t>
                  </w:r>
                </w:p>
              </w:tc>
            </w:tr>
            <w:tr w:rsidR="000E7AFB" w:rsidRPr="0004405B" w:rsidTr="000E7AFB">
              <w:trPr>
                <w:gridAfter w:val="2"/>
                <w:wAfter w:w="3455" w:type="dxa"/>
                <w:trHeight w:val="600"/>
              </w:trPr>
              <w:tc>
                <w:tcPr>
                  <w:tcW w:w="4254"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Triax Cámaras Aéreo Patch Cord hembra tipo king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10</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Conector BNC AHPHENOL 31-71008-RG59</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26</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XLR chasis macho switchcraft E3MSC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15</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XLR chasis Hembra switchcraft E3FSC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15</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BNC Chasis MICROLINK 31-220-75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15</w:t>
                  </w:r>
                </w:p>
              </w:tc>
            </w:tr>
            <w:tr w:rsidR="000E7AFB" w:rsidRPr="0004405B" w:rsidTr="000E7AFB">
              <w:trPr>
                <w:gridAfter w:val="2"/>
                <w:wAfter w:w="3455" w:type="dxa"/>
                <w:trHeight w:val="300"/>
              </w:trPr>
              <w:tc>
                <w:tcPr>
                  <w:tcW w:w="4254"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Tapas ciegas para troquelar de 4U unidades, para armar patch de triax </w:t>
                  </w:r>
                </w:p>
              </w:tc>
              <w:tc>
                <w:tcPr>
                  <w:tcW w:w="1159"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20</w:t>
                  </w:r>
                </w:p>
              </w:tc>
            </w:tr>
          </w:tbl>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r w:rsidRPr="0004405B">
              <w:rPr>
                <w:rFonts w:ascii="Arial" w:hAnsi="Arial" w:cs="Arial"/>
                <w:sz w:val="22"/>
                <w:szCs w:val="22"/>
              </w:rPr>
              <w:t>3.2 Suministro e instalación de equipos para cuarto de electrónica de producción</w:t>
            </w:r>
          </w:p>
          <w:tbl>
            <w:tblPr>
              <w:tblW w:w="5000" w:type="dxa"/>
              <w:tblLayout w:type="fixed"/>
              <w:tblCellMar>
                <w:left w:w="70" w:type="dxa"/>
                <w:right w:w="70" w:type="dxa"/>
              </w:tblCellMar>
              <w:tblLook w:val="04A0"/>
            </w:tblPr>
            <w:tblGrid>
              <w:gridCol w:w="3800"/>
              <w:gridCol w:w="1200"/>
            </w:tblGrid>
            <w:tr w:rsidR="000E7AFB" w:rsidRPr="0004405B" w:rsidTr="000E7AFB">
              <w:trPr>
                <w:trHeight w:val="300"/>
              </w:trPr>
              <w:tc>
                <w:tcPr>
                  <w:tcW w:w="3800"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Electrónica de Producción</w:t>
                  </w:r>
                </w:p>
              </w:tc>
              <w:tc>
                <w:tcPr>
                  <w:tcW w:w="1200" w:type="dxa"/>
                  <w:tcBorders>
                    <w:top w:val="nil"/>
                    <w:left w:val="nil"/>
                    <w:bottom w:val="nil"/>
                    <w:right w:val="nil"/>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p>
              </w:tc>
            </w:tr>
            <w:tr w:rsidR="000E7AFB" w:rsidRPr="0004405B" w:rsidTr="000E7AFB">
              <w:trPr>
                <w:trHeight w:val="300"/>
              </w:trPr>
              <w:tc>
                <w:tcPr>
                  <w:tcW w:w="3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Descripción</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Cantidad</w:t>
                  </w:r>
                </w:p>
              </w:tc>
            </w:tr>
            <w:tr w:rsidR="000E7AFB" w:rsidRPr="0004405B" w:rsidTr="000E7AFB">
              <w:trPr>
                <w:trHeight w:val="9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lastRenderedPageBreak/>
                    <w:t>Black magic hyperdeck studio pro + 2 unidades de SANDISK de 960GB (SDSSDXPS-960G-G25)</w:t>
                  </w:r>
                </w:p>
              </w:tc>
              <w:tc>
                <w:tcPr>
                  <w:tcW w:w="1200" w:type="dxa"/>
                  <w:tcBorders>
                    <w:top w:val="nil"/>
                    <w:left w:val="nil"/>
                    <w:bottom w:val="single" w:sz="4" w:space="0" w:color="auto"/>
                    <w:right w:val="single" w:sz="4" w:space="0" w:color="auto"/>
                  </w:tcBorders>
                  <w:shd w:val="clear" w:color="000000" w:fill="FFFFFF"/>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trHeight w:val="6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GENERADOR DE SINCRONISMO LEADER MXL PKG 02</w:t>
                  </w:r>
                </w:p>
              </w:tc>
              <w:tc>
                <w:tcPr>
                  <w:tcW w:w="1200" w:type="dxa"/>
                  <w:tcBorders>
                    <w:top w:val="nil"/>
                    <w:left w:val="nil"/>
                    <w:bottom w:val="single" w:sz="4" w:space="0" w:color="auto"/>
                    <w:right w:val="single" w:sz="4" w:space="0" w:color="auto"/>
                  </w:tcBorders>
                  <w:shd w:val="clear" w:color="000000" w:fill="FFFFFF"/>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trHeight w:val="15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Bastidor OPEN GEAR configurado así:         2 tarjetas embebedoras de audio a SDI, 4 tarjetas des-embebedoras de SDI  a audio, 2 tarjetas distribuidoras de SDI y 2 tarjetas distribuidoras CV.           </w:t>
                  </w:r>
                </w:p>
              </w:tc>
              <w:tc>
                <w:tcPr>
                  <w:tcW w:w="1200"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trHeight w:val="9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Monitores de video enfrentado, señal de aire de 42" tipo LED, con sintonizador DVB-T2</w:t>
                  </w:r>
                </w:p>
              </w:tc>
              <w:tc>
                <w:tcPr>
                  <w:tcW w:w="1200"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w:t>
                  </w:r>
                </w:p>
              </w:tc>
            </w:tr>
            <w:tr w:rsidR="000E7AFB" w:rsidRPr="0004405B" w:rsidTr="000E7AFB">
              <w:trPr>
                <w:trHeight w:val="12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Razter SDI HD Leader LV7330 </w:t>
                  </w:r>
                  <w:r w:rsidRPr="0004405B">
                    <w:rPr>
                      <w:rFonts w:ascii="Arial" w:hAnsi="Arial" w:cs="Arial"/>
                      <w:color w:val="000000"/>
                      <w:sz w:val="22"/>
                      <w:szCs w:val="22"/>
                      <w:lang w:val="es-ES" w:eastAsia="es-ES"/>
                    </w:rPr>
                    <w:br/>
                    <w:t xml:space="preserve">Con entradas y salidas SDI, salida DVI, picture display, Display para la </w:t>
                  </w:r>
                  <w:r w:rsidRPr="0004405B">
                    <w:rPr>
                      <w:rFonts w:ascii="Arial" w:hAnsi="Arial" w:cs="Arial"/>
                      <w:color w:val="000000"/>
                      <w:sz w:val="22"/>
                      <w:szCs w:val="22"/>
                      <w:lang w:val="es-ES" w:eastAsia="es-ES"/>
                    </w:rPr>
                    <w:br/>
                    <w:t xml:space="preserve">señal de Waveform y Vector. </w:t>
                  </w:r>
                </w:p>
              </w:tc>
              <w:tc>
                <w:tcPr>
                  <w:tcW w:w="1200"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trHeight w:val="6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Bastidor matriz de Video 3G SD-HD, con fuente redundante, 64X64 mínimo, Sierra serie Ponderosa </w:t>
                  </w:r>
                </w:p>
              </w:tc>
              <w:tc>
                <w:tcPr>
                  <w:tcW w:w="1200"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Tarjeta matriz de 8 entradas SDI-HD 3G</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3</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Tarjeta matriz de 8 salidas SDI-HD 3G</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4</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CPU Redundante matriz de video</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Convertidor SDI / HDMI</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3</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Monitores de audio HS50 Yamaha</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w:t>
                  </w:r>
                </w:p>
              </w:tc>
            </w:tr>
            <w:tr w:rsidR="000E7AFB" w:rsidRPr="0004405B" w:rsidTr="000E7AFB">
              <w:trPr>
                <w:trHeight w:val="900"/>
              </w:trPr>
              <w:tc>
                <w:tcPr>
                  <w:tcW w:w="3800" w:type="dxa"/>
                  <w:tcBorders>
                    <w:top w:val="nil"/>
                    <w:left w:val="single" w:sz="4" w:space="0" w:color="auto"/>
                    <w:bottom w:val="single" w:sz="4" w:space="0" w:color="auto"/>
                    <w:right w:val="single" w:sz="4" w:space="0" w:color="auto"/>
                  </w:tcBorders>
                  <w:shd w:val="clear" w:color="000000" w:fill="FFFFFF"/>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Monitor Audio SDI BLACK MAGIC AUDMON1RU 2 canales AES/EBU de audio digital de entrada. </w:t>
                  </w:r>
                </w:p>
              </w:tc>
              <w:tc>
                <w:tcPr>
                  <w:tcW w:w="1200"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trHeight w:val="900"/>
              </w:trPr>
              <w:tc>
                <w:tcPr>
                  <w:tcW w:w="3800" w:type="dxa"/>
                  <w:tcBorders>
                    <w:top w:val="nil"/>
                    <w:left w:val="single" w:sz="4" w:space="0" w:color="auto"/>
                    <w:bottom w:val="single" w:sz="4" w:space="0" w:color="auto"/>
                    <w:right w:val="single" w:sz="4" w:space="0" w:color="auto"/>
                  </w:tcBorders>
                  <w:shd w:val="clear" w:color="000000" w:fill="FFFFFF"/>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Monitoreo individual 8 salidas por master producción Marshall V-MD434-</w:t>
                  </w:r>
                  <w:r w:rsidRPr="0004405B">
                    <w:rPr>
                      <w:rFonts w:ascii="Arial" w:hAnsi="Arial" w:cs="Arial"/>
                      <w:color w:val="000000"/>
                      <w:sz w:val="22"/>
                      <w:szCs w:val="22"/>
                      <w:lang w:val="es-ES" w:eastAsia="es-ES"/>
                    </w:rPr>
                    <w:br/>
                    <w:t xml:space="preserve">3GSDI HDSDI </w:t>
                  </w:r>
                </w:p>
              </w:tc>
              <w:tc>
                <w:tcPr>
                  <w:tcW w:w="1200"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Grua Mini Jib LIBEC JIB50 estudio 2 con cabeza caliente</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bl>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tbl>
            <w:tblPr>
              <w:tblW w:w="5000" w:type="dxa"/>
              <w:tblInd w:w="57" w:type="dxa"/>
              <w:tblLayout w:type="fixed"/>
              <w:tblCellMar>
                <w:left w:w="70" w:type="dxa"/>
                <w:right w:w="70" w:type="dxa"/>
              </w:tblCellMar>
              <w:tblLook w:val="04A0"/>
            </w:tblPr>
            <w:tblGrid>
              <w:gridCol w:w="3800"/>
              <w:gridCol w:w="1200"/>
            </w:tblGrid>
            <w:tr w:rsidR="000E7AFB" w:rsidRPr="0004405B" w:rsidTr="000E7AFB">
              <w:trPr>
                <w:trHeight w:val="300"/>
              </w:trPr>
              <w:tc>
                <w:tcPr>
                  <w:tcW w:w="3800"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Patch Panel</w:t>
                  </w:r>
                </w:p>
              </w:tc>
              <w:tc>
                <w:tcPr>
                  <w:tcW w:w="1200" w:type="dxa"/>
                  <w:tcBorders>
                    <w:top w:val="nil"/>
                    <w:left w:val="nil"/>
                    <w:bottom w:val="nil"/>
                    <w:right w:val="nil"/>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p>
              </w:tc>
            </w:tr>
            <w:tr w:rsidR="000E7AFB" w:rsidRPr="0004405B" w:rsidTr="000E7AFB">
              <w:trPr>
                <w:trHeight w:val="300"/>
              </w:trPr>
              <w:tc>
                <w:tcPr>
                  <w:tcW w:w="3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Descripción</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Cantidad</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n-US" w:eastAsia="es-ES"/>
                    </w:rPr>
                  </w:pPr>
                  <w:r w:rsidRPr="0004405B">
                    <w:rPr>
                      <w:rFonts w:ascii="Arial" w:hAnsi="Arial" w:cs="Arial"/>
                      <w:color w:val="000000"/>
                      <w:sz w:val="22"/>
                      <w:szCs w:val="22"/>
                      <w:lang w:val="en-US" w:eastAsia="es-ES"/>
                    </w:rPr>
                    <w:lastRenderedPageBreak/>
                    <w:t xml:space="preserve">Catch panel Cannare 24DV-2U </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4</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Patch cord Cannare VPC003F</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20</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Patch Panel Audio 2 x 24 MA96-1O</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Patch Cord Audio TTS-102 </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20</w:t>
                  </w:r>
                </w:p>
              </w:tc>
            </w:tr>
          </w:tbl>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tbl>
            <w:tblPr>
              <w:tblW w:w="5000" w:type="dxa"/>
              <w:tblInd w:w="57" w:type="dxa"/>
              <w:tblLayout w:type="fixed"/>
              <w:tblCellMar>
                <w:left w:w="70" w:type="dxa"/>
                <w:right w:w="70" w:type="dxa"/>
              </w:tblCellMar>
              <w:tblLook w:val="04A0"/>
            </w:tblPr>
            <w:tblGrid>
              <w:gridCol w:w="3800"/>
              <w:gridCol w:w="1200"/>
            </w:tblGrid>
            <w:tr w:rsidR="000E7AFB" w:rsidRPr="0004405B" w:rsidTr="000E7AFB">
              <w:trPr>
                <w:trHeight w:val="300"/>
              </w:trPr>
              <w:tc>
                <w:tcPr>
                  <w:tcW w:w="3800"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Conectores y cable video</w:t>
                  </w:r>
                </w:p>
              </w:tc>
              <w:tc>
                <w:tcPr>
                  <w:tcW w:w="1200" w:type="dxa"/>
                  <w:tcBorders>
                    <w:top w:val="nil"/>
                    <w:left w:val="nil"/>
                    <w:bottom w:val="nil"/>
                    <w:right w:val="nil"/>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p>
              </w:tc>
            </w:tr>
            <w:tr w:rsidR="000E7AFB" w:rsidRPr="0004405B" w:rsidTr="000E7AFB">
              <w:trPr>
                <w:trHeight w:val="300"/>
              </w:trPr>
              <w:tc>
                <w:tcPr>
                  <w:tcW w:w="3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Descripción</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Cantidad</w:t>
                  </w:r>
                </w:p>
              </w:tc>
            </w:tr>
            <w:tr w:rsidR="000E7AFB" w:rsidRPr="0004405B" w:rsidTr="000E7AFB">
              <w:trPr>
                <w:trHeight w:val="600"/>
              </w:trPr>
              <w:tc>
                <w:tcPr>
                  <w:tcW w:w="3800" w:type="dxa"/>
                  <w:tcBorders>
                    <w:top w:val="nil"/>
                    <w:left w:val="single" w:sz="4" w:space="0" w:color="auto"/>
                    <w:bottom w:val="single" w:sz="4" w:space="0" w:color="auto"/>
                    <w:right w:val="single" w:sz="4" w:space="0" w:color="auto"/>
                  </w:tcBorders>
                  <w:shd w:val="clear" w:color="000000" w:fill="FFFFFF"/>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Conectores BNC AMPHENOL 500 6,500 3,250,000 </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250</w:t>
                  </w:r>
                </w:p>
              </w:tc>
            </w:tr>
            <w:tr w:rsidR="000E7AFB" w:rsidRPr="0004405B" w:rsidTr="000E7AFB">
              <w:trPr>
                <w:trHeight w:val="600"/>
              </w:trPr>
              <w:tc>
                <w:tcPr>
                  <w:tcW w:w="3800" w:type="dxa"/>
                  <w:tcBorders>
                    <w:top w:val="nil"/>
                    <w:left w:val="single" w:sz="4" w:space="0" w:color="auto"/>
                    <w:bottom w:val="single" w:sz="4" w:space="0" w:color="auto"/>
                    <w:right w:val="single" w:sz="4" w:space="0" w:color="auto"/>
                  </w:tcBorders>
                  <w:shd w:val="clear" w:color="000000" w:fill="FFFFFF"/>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 xml:space="preserve">Cable BNC metros BELDEN 1505A 500 2,589 1,294,500 </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250</w:t>
                  </w:r>
                </w:p>
              </w:tc>
            </w:tr>
          </w:tbl>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p>
          <w:tbl>
            <w:tblPr>
              <w:tblW w:w="5000" w:type="dxa"/>
              <w:tblInd w:w="57" w:type="dxa"/>
              <w:tblLayout w:type="fixed"/>
              <w:tblCellMar>
                <w:left w:w="70" w:type="dxa"/>
                <w:right w:w="70" w:type="dxa"/>
              </w:tblCellMar>
              <w:tblLook w:val="04A0"/>
            </w:tblPr>
            <w:tblGrid>
              <w:gridCol w:w="3800"/>
              <w:gridCol w:w="1200"/>
            </w:tblGrid>
            <w:tr w:rsidR="000E7AFB" w:rsidRPr="0004405B" w:rsidTr="000E7AFB">
              <w:trPr>
                <w:trHeight w:val="300"/>
              </w:trPr>
              <w:tc>
                <w:tcPr>
                  <w:tcW w:w="3800"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MASTER PRODUCCION PRINCIPAL</w:t>
                  </w:r>
                </w:p>
              </w:tc>
              <w:tc>
                <w:tcPr>
                  <w:tcW w:w="1200" w:type="dxa"/>
                  <w:tcBorders>
                    <w:top w:val="nil"/>
                    <w:left w:val="nil"/>
                    <w:bottom w:val="nil"/>
                    <w:right w:val="nil"/>
                  </w:tcBorders>
                  <w:shd w:val="clear" w:color="auto" w:fill="auto"/>
                  <w:noWrap/>
                  <w:vAlign w:val="bottom"/>
                  <w:hideMark/>
                </w:tcPr>
                <w:p w:rsidR="000E7AFB" w:rsidRPr="0004405B" w:rsidRDefault="000E7AFB" w:rsidP="007517C3">
                  <w:pPr>
                    <w:rPr>
                      <w:rFonts w:ascii="Arial" w:hAnsi="Arial" w:cs="Arial"/>
                      <w:color w:val="000000"/>
                      <w:sz w:val="22"/>
                      <w:szCs w:val="22"/>
                      <w:lang w:val="es-ES" w:eastAsia="es-ES"/>
                    </w:rPr>
                  </w:pPr>
                </w:p>
              </w:tc>
            </w:tr>
            <w:tr w:rsidR="000E7AFB" w:rsidRPr="0004405B" w:rsidTr="000E7AFB">
              <w:trPr>
                <w:trHeight w:val="300"/>
              </w:trPr>
              <w:tc>
                <w:tcPr>
                  <w:tcW w:w="38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Descripción</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Cantidad</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Monitor Multi Imagen tipo Plasma de 65"</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1</w:t>
                  </w:r>
                </w:p>
              </w:tc>
            </w:tr>
            <w:tr w:rsidR="000E7AFB" w:rsidRPr="0004405B" w:rsidTr="000E7AFB">
              <w:trPr>
                <w:trHeight w:val="9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Monitores de video enfrentado, señal de aire de 42" tipo LED, con sintonizador DVB-T2</w:t>
                  </w:r>
                </w:p>
              </w:tc>
              <w:tc>
                <w:tcPr>
                  <w:tcW w:w="1200" w:type="dxa"/>
                  <w:tcBorders>
                    <w:top w:val="nil"/>
                    <w:left w:val="nil"/>
                    <w:bottom w:val="single" w:sz="4" w:space="0" w:color="auto"/>
                    <w:right w:val="single" w:sz="4" w:space="0" w:color="auto"/>
                  </w:tcBorders>
                  <w:shd w:val="clear" w:color="auto" w:fill="auto"/>
                  <w:noWrap/>
                  <w:vAlign w:val="center"/>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Convertidor SDI / HDMI</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5</w:t>
                  </w:r>
                </w:p>
              </w:tc>
            </w:tr>
            <w:tr w:rsidR="000E7AFB" w:rsidRPr="0004405B" w:rsidTr="000E7AFB">
              <w:trPr>
                <w:trHeight w:val="300"/>
              </w:trPr>
              <w:tc>
                <w:tcPr>
                  <w:tcW w:w="3800" w:type="dxa"/>
                  <w:tcBorders>
                    <w:top w:val="nil"/>
                    <w:left w:val="single" w:sz="4" w:space="0" w:color="auto"/>
                    <w:bottom w:val="single" w:sz="4" w:space="0" w:color="auto"/>
                    <w:right w:val="single" w:sz="4" w:space="0" w:color="auto"/>
                  </w:tcBorders>
                  <w:shd w:val="clear" w:color="000000" w:fill="FFFFFF"/>
                  <w:noWrap/>
                  <w:vAlign w:val="bottom"/>
                  <w:hideMark/>
                </w:tcPr>
                <w:p w:rsidR="000E7AFB" w:rsidRPr="0004405B" w:rsidRDefault="000E7AFB" w:rsidP="007517C3">
                  <w:pPr>
                    <w:rPr>
                      <w:rFonts w:ascii="Arial" w:hAnsi="Arial" w:cs="Arial"/>
                      <w:color w:val="000000"/>
                      <w:sz w:val="22"/>
                      <w:szCs w:val="22"/>
                      <w:lang w:val="es-ES" w:eastAsia="es-ES"/>
                    </w:rPr>
                  </w:pPr>
                  <w:r w:rsidRPr="0004405B">
                    <w:rPr>
                      <w:rFonts w:ascii="Arial" w:hAnsi="Arial" w:cs="Arial"/>
                      <w:color w:val="000000"/>
                      <w:sz w:val="22"/>
                      <w:szCs w:val="22"/>
                      <w:lang w:val="es-ES" w:eastAsia="es-ES"/>
                    </w:rPr>
                    <w:t>Monitores de audio HS50 Yamaha</w:t>
                  </w:r>
                </w:p>
              </w:tc>
              <w:tc>
                <w:tcPr>
                  <w:tcW w:w="1200" w:type="dxa"/>
                  <w:tcBorders>
                    <w:top w:val="nil"/>
                    <w:left w:val="nil"/>
                    <w:bottom w:val="single" w:sz="4" w:space="0" w:color="auto"/>
                    <w:right w:val="single" w:sz="4" w:space="0" w:color="auto"/>
                  </w:tcBorders>
                  <w:shd w:val="clear" w:color="auto" w:fill="auto"/>
                  <w:noWrap/>
                  <w:vAlign w:val="bottom"/>
                  <w:hideMark/>
                </w:tcPr>
                <w:p w:rsidR="000E7AFB" w:rsidRPr="0004405B" w:rsidRDefault="000E7AFB" w:rsidP="007517C3">
                  <w:pPr>
                    <w:jc w:val="center"/>
                    <w:rPr>
                      <w:rFonts w:ascii="Arial" w:hAnsi="Arial" w:cs="Arial"/>
                      <w:color w:val="000000"/>
                      <w:sz w:val="22"/>
                      <w:szCs w:val="22"/>
                      <w:lang w:val="es-ES" w:eastAsia="es-ES"/>
                    </w:rPr>
                  </w:pPr>
                  <w:r w:rsidRPr="0004405B">
                    <w:rPr>
                      <w:rFonts w:ascii="Arial" w:hAnsi="Arial" w:cs="Arial"/>
                      <w:color w:val="000000"/>
                      <w:sz w:val="22"/>
                      <w:szCs w:val="22"/>
                      <w:lang w:val="es-ES" w:eastAsia="es-ES"/>
                    </w:rPr>
                    <w:t>2</w:t>
                  </w:r>
                </w:p>
              </w:tc>
            </w:tr>
          </w:tbl>
          <w:p w:rsidR="000E7AFB" w:rsidRPr="0004405B" w:rsidRDefault="000E7AFB" w:rsidP="000E7AFB">
            <w:pPr>
              <w:contextualSpacing/>
              <w:jc w:val="both"/>
              <w:rPr>
                <w:rFonts w:ascii="Arial" w:hAnsi="Arial" w:cs="Arial"/>
                <w:sz w:val="22"/>
                <w:szCs w:val="22"/>
              </w:rPr>
            </w:pPr>
          </w:p>
          <w:p w:rsidR="000E7AFB" w:rsidRPr="0004405B" w:rsidRDefault="000E7AFB" w:rsidP="000E7AFB">
            <w:pPr>
              <w:contextualSpacing/>
              <w:jc w:val="both"/>
              <w:rPr>
                <w:rFonts w:ascii="Arial" w:hAnsi="Arial" w:cs="Arial"/>
                <w:sz w:val="22"/>
                <w:szCs w:val="22"/>
              </w:rPr>
            </w:pPr>
            <w:r w:rsidRPr="0004405B">
              <w:rPr>
                <w:rFonts w:ascii="Arial" w:hAnsi="Arial" w:cs="Arial"/>
                <w:sz w:val="22"/>
                <w:szCs w:val="22"/>
              </w:rPr>
              <w:t>Los racks para la instalación de los equipos serán suministrados por Telecaribe.</w:t>
            </w:r>
          </w:p>
          <w:p w:rsidR="00936DB7" w:rsidRPr="0004405B" w:rsidRDefault="00936DB7" w:rsidP="000E7AFB">
            <w:pPr>
              <w:jc w:val="both"/>
              <w:rPr>
                <w:rFonts w:ascii="Arial" w:hAnsi="Arial" w:cs="Arial"/>
                <w:sz w:val="22"/>
                <w:szCs w:val="22"/>
              </w:rPr>
            </w:pPr>
          </w:p>
        </w:tc>
      </w:tr>
      <w:tr w:rsidR="00FB2533" w:rsidRPr="0004405B" w:rsidTr="0004405B">
        <w:tc>
          <w:tcPr>
            <w:tcW w:w="2410" w:type="dxa"/>
          </w:tcPr>
          <w:p w:rsidR="0091551E" w:rsidRPr="0004405B" w:rsidRDefault="0091551E" w:rsidP="00C16C22">
            <w:pPr>
              <w:rPr>
                <w:rFonts w:ascii="Arial" w:hAnsi="Arial" w:cs="Arial"/>
                <w:sz w:val="22"/>
                <w:szCs w:val="22"/>
              </w:rPr>
            </w:pPr>
          </w:p>
          <w:p w:rsidR="00DA2B06" w:rsidRPr="0004405B" w:rsidRDefault="00DA2B06" w:rsidP="00C16C22">
            <w:pPr>
              <w:rPr>
                <w:rFonts w:ascii="Arial" w:hAnsi="Arial" w:cs="Arial"/>
                <w:sz w:val="22"/>
                <w:szCs w:val="22"/>
              </w:rPr>
            </w:pPr>
          </w:p>
          <w:p w:rsidR="00FB2533" w:rsidRPr="0004405B" w:rsidRDefault="00FB2533" w:rsidP="00C16C22">
            <w:pPr>
              <w:rPr>
                <w:rFonts w:ascii="Arial" w:hAnsi="Arial" w:cs="Arial"/>
                <w:sz w:val="22"/>
                <w:szCs w:val="22"/>
              </w:rPr>
            </w:pPr>
            <w:r w:rsidRPr="0004405B">
              <w:rPr>
                <w:rFonts w:ascii="Arial" w:hAnsi="Arial" w:cs="Arial"/>
                <w:sz w:val="22"/>
                <w:szCs w:val="22"/>
              </w:rPr>
              <w:t>Modalidad de selección</w:t>
            </w:r>
          </w:p>
          <w:p w:rsidR="0091551E" w:rsidRPr="0004405B" w:rsidRDefault="0091551E" w:rsidP="00C16C22">
            <w:pPr>
              <w:rPr>
                <w:rFonts w:ascii="Arial" w:hAnsi="Arial" w:cs="Arial"/>
                <w:sz w:val="22"/>
                <w:szCs w:val="22"/>
              </w:rPr>
            </w:pPr>
          </w:p>
        </w:tc>
        <w:tc>
          <w:tcPr>
            <w:tcW w:w="7087" w:type="dxa"/>
          </w:tcPr>
          <w:p w:rsidR="00FB2533" w:rsidRPr="0004405B" w:rsidRDefault="00FB2533" w:rsidP="00C16C22">
            <w:pPr>
              <w:rPr>
                <w:rFonts w:ascii="Arial" w:hAnsi="Arial" w:cs="Arial"/>
                <w:sz w:val="22"/>
                <w:szCs w:val="22"/>
              </w:rPr>
            </w:pPr>
          </w:p>
          <w:p w:rsidR="00D82762" w:rsidRPr="0004405B" w:rsidRDefault="00D82762" w:rsidP="00992B99">
            <w:pPr>
              <w:jc w:val="both"/>
              <w:rPr>
                <w:rFonts w:ascii="Arial" w:hAnsi="Arial" w:cs="Arial"/>
                <w:sz w:val="22"/>
                <w:szCs w:val="22"/>
              </w:rPr>
            </w:pPr>
            <w:r w:rsidRPr="0004405B">
              <w:rPr>
                <w:rFonts w:ascii="Arial" w:hAnsi="Arial" w:cs="Arial"/>
                <w:sz w:val="22"/>
                <w:szCs w:val="22"/>
              </w:rPr>
              <w:t xml:space="preserve">La modalidad de selección del presente contrato será </w:t>
            </w:r>
            <w:r w:rsidR="00992B99" w:rsidRPr="0004405B">
              <w:rPr>
                <w:rFonts w:ascii="Arial" w:hAnsi="Arial" w:cs="Arial"/>
                <w:sz w:val="22"/>
                <w:szCs w:val="22"/>
              </w:rPr>
              <w:t>Convocatoria Pública.</w:t>
            </w:r>
            <w:r w:rsidRPr="0004405B">
              <w:rPr>
                <w:rFonts w:ascii="Arial" w:hAnsi="Arial" w:cs="Arial"/>
                <w:sz w:val="22"/>
                <w:szCs w:val="22"/>
              </w:rPr>
              <w:t xml:space="preserve"> </w:t>
            </w: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r w:rsidRPr="0004405B">
              <w:rPr>
                <w:rFonts w:ascii="Arial" w:hAnsi="Arial" w:cs="Arial"/>
                <w:sz w:val="22"/>
                <w:szCs w:val="22"/>
              </w:rPr>
              <w:t>Fundamentos jurídicos</w:t>
            </w:r>
          </w:p>
          <w:p w:rsidR="0004405B" w:rsidRPr="0004405B" w:rsidRDefault="0004405B" w:rsidP="00C16C22">
            <w:pPr>
              <w:rPr>
                <w:rFonts w:ascii="Arial" w:hAnsi="Arial" w:cs="Arial"/>
                <w:sz w:val="22"/>
                <w:szCs w:val="22"/>
              </w:rPr>
            </w:pPr>
          </w:p>
        </w:tc>
        <w:tc>
          <w:tcPr>
            <w:tcW w:w="7087" w:type="dxa"/>
          </w:tcPr>
          <w:p w:rsidR="0004405B" w:rsidRPr="0004405B" w:rsidRDefault="0004405B" w:rsidP="002A042C">
            <w:pPr>
              <w:jc w:val="both"/>
              <w:rPr>
                <w:rFonts w:ascii="Arial" w:hAnsi="Arial" w:cs="Arial"/>
                <w:sz w:val="22"/>
                <w:szCs w:val="22"/>
              </w:rPr>
            </w:pPr>
            <w:r w:rsidRPr="0004405B">
              <w:rPr>
                <w:rFonts w:ascii="Arial" w:hAnsi="Arial" w:cs="Arial"/>
                <w:sz w:val="22"/>
                <w:szCs w:val="22"/>
              </w:rPr>
              <w:t xml:space="preserve">Artículo 38 de la ley 80 de 1993. </w:t>
            </w: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r w:rsidRPr="0004405B">
              <w:rPr>
                <w:rFonts w:ascii="Arial" w:hAnsi="Arial" w:cs="Arial"/>
                <w:sz w:val="22"/>
                <w:szCs w:val="22"/>
              </w:rPr>
              <w:t>Presupuesto</w:t>
            </w:r>
          </w:p>
        </w:tc>
        <w:tc>
          <w:tcPr>
            <w:tcW w:w="7087" w:type="dxa"/>
          </w:tcPr>
          <w:p w:rsidR="0004405B" w:rsidRPr="0004405B" w:rsidRDefault="0004405B" w:rsidP="00DD07EA">
            <w:pPr>
              <w:rPr>
                <w:rFonts w:ascii="Arial" w:hAnsi="Arial" w:cs="Arial"/>
                <w:sz w:val="22"/>
                <w:szCs w:val="22"/>
                <w:lang w:val="es-ES"/>
              </w:rPr>
            </w:pPr>
            <w:r w:rsidRPr="0004405B">
              <w:rPr>
                <w:rFonts w:ascii="Arial" w:eastAsia="Geneva" w:hAnsi="Arial" w:cs="Arial"/>
                <w:sz w:val="22"/>
                <w:szCs w:val="22"/>
                <w:lang w:eastAsia="es-CO"/>
              </w:rPr>
              <w:t>Trescientos cincuenta y cuatro millones Incluido IVA ($ 354.000.000)</w:t>
            </w: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r w:rsidRPr="0004405B">
              <w:rPr>
                <w:rFonts w:ascii="Arial" w:hAnsi="Arial" w:cs="Arial"/>
                <w:sz w:val="22"/>
                <w:szCs w:val="22"/>
              </w:rPr>
              <w:t>Tipo de Contrato</w:t>
            </w:r>
          </w:p>
          <w:p w:rsidR="0004405B" w:rsidRPr="0004405B" w:rsidRDefault="0004405B" w:rsidP="00C16C22">
            <w:pPr>
              <w:rPr>
                <w:rFonts w:ascii="Arial" w:hAnsi="Arial" w:cs="Arial"/>
                <w:sz w:val="22"/>
                <w:szCs w:val="22"/>
              </w:rPr>
            </w:pPr>
          </w:p>
        </w:tc>
        <w:tc>
          <w:tcPr>
            <w:tcW w:w="7087" w:type="dxa"/>
          </w:tcPr>
          <w:p w:rsidR="0004405B" w:rsidRPr="0004405B" w:rsidRDefault="0004405B" w:rsidP="00C16C22">
            <w:pPr>
              <w:rPr>
                <w:rFonts w:ascii="Arial" w:hAnsi="Arial" w:cs="Arial"/>
                <w:b/>
                <w:bCs/>
                <w:sz w:val="22"/>
                <w:szCs w:val="22"/>
                <w:lang w:val="es-ES"/>
              </w:rPr>
            </w:pPr>
          </w:p>
          <w:p w:rsidR="0004405B" w:rsidRPr="0004405B" w:rsidRDefault="0004405B" w:rsidP="00C16C22">
            <w:pPr>
              <w:rPr>
                <w:rFonts w:ascii="Arial" w:hAnsi="Arial" w:cs="Arial"/>
                <w:sz w:val="22"/>
                <w:szCs w:val="22"/>
              </w:rPr>
            </w:pPr>
            <w:r w:rsidRPr="0004405B">
              <w:rPr>
                <w:rFonts w:ascii="Arial" w:hAnsi="Arial" w:cs="Arial"/>
                <w:bCs/>
                <w:sz w:val="22"/>
                <w:szCs w:val="22"/>
                <w:lang w:val="es-ES"/>
              </w:rPr>
              <w:t>Compra y venta</w:t>
            </w: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r w:rsidRPr="0004405B">
              <w:rPr>
                <w:rFonts w:ascii="Arial" w:hAnsi="Arial" w:cs="Arial"/>
                <w:sz w:val="22"/>
                <w:szCs w:val="22"/>
              </w:rPr>
              <w:t xml:space="preserve">Obligaciones del </w:t>
            </w:r>
            <w:r w:rsidRPr="0004405B">
              <w:rPr>
                <w:rFonts w:ascii="Arial" w:hAnsi="Arial" w:cs="Arial"/>
                <w:sz w:val="22"/>
                <w:szCs w:val="22"/>
              </w:rPr>
              <w:lastRenderedPageBreak/>
              <w:t>contratista</w:t>
            </w:r>
          </w:p>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p>
        </w:tc>
        <w:tc>
          <w:tcPr>
            <w:tcW w:w="7087" w:type="dxa"/>
          </w:tcPr>
          <w:p w:rsidR="0004405B" w:rsidRPr="0004405B" w:rsidRDefault="0004405B" w:rsidP="00941FAA">
            <w:pPr>
              <w:numPr>
                <w:ilvl w:val="0"/>
                <w:numId w:val="23"/>
              </w:numPr>
              <w:ind w:left="742"/>
              <w:rPr>
                <w:rFonts w:ascii="Arial" w:hAnsi="Arial" w:cs="Arial"/>
                <w:sz w:val="22"/>
                <w:szCs w:val="22"/>
                <w:lang w:val="es-ES"/>
              </w:rPr>
            </w:pPr>
            <w:r w:rsidRPr="0004405B">
              <w:rPr>
                <w:rFonts w:ascii="Arial" w:hAnsi="Arial" w:cs="Arial"/>
                <w:sz w:val="22"/>
                <w:szCs w:val="22"/>
                <w:lang w:val="es-ES"/>
              </w:rPr>
              <w:lastRenderedPageBreak/>
              <w:t xml:space="preserve">Entregar a Telecaribe los elementos de acuerdo a las especificaciones ofertadas y dentro del término previsto con </w:t>
            </w:r>
            <w:r w:rsidRPr="0004405B">
              <w:rPr>
                <w:rFonts w:ascii="Arial" w:hAnsi="Arial" w:cs="Arial"/>
                <w:sz w:val="22"/>
                <w:szCs w:val="22"/>
                <w:lang w:val="es-ES"/>
              </w:rPr>
              <w:lastRenderedPageBreak/>
              <w:t>base a la cotización presentada.</w:t>
            </w:r>
          </w:p>
          <w:p w:rsidR="0004405B" w:rsidRPr="0004405B" w:rsidRDefault="0004405B" w:rsidP="00941FAA">
            <w:pPr>
              <w:numPr>
                <w:ilvl w:val="0"/>
                <w:numId w:val="23"/>
              </w:numPr>
              <w:ind w:left="742"/>
              <w:rPr>
                <w:rFonts w:ascii="Arial" w:hAnsi="Arial" w:cs="Arial"/>
                <w:sz w:val="22"/>
                <w:szCs w:val="22"/>
                <w:lang w:val="es-ES"/>
              </w:rPr>
            </w:pPr>
            <w:r w:rsidRPr="0004405B">
              <w:rPr>
                <w:rFonts w:ascii="Arial" w:hAnsi="Arial" w:cs="Arial"/>
                <w:sz w:val="22"/>
                <w:szCs w:val="22"/>
                <w:lang w:val="es-ES"/>
              </w:rPr>
              <w:t>Entregar con los elementos suministrados la declaración de importación de los equipos.</w:t>
            </w:r>
          </w:p>
          <w:p w:rsidR="0004405B" w:rsidRPr="0004405B" w:rsidRDefault="0004405B" w:rsidP="00941FAA">
            <w:pPr>
              <w:numPr>
                <w:ilvl w:val="0"/>
                <w:numId w:val="23"/>
              </w:numPr>
              <w:ind w:left="742"/>
              <w:rPr>
                <w:rFonts w:ascii="Arial" w:hAnsi="Arial" w:cs="Arial"/>
                <w:sz w:val="22"/>
                <w:szCs w:val="22"/>
                <w:lang w:val="es-ES"/>
              </w:rPr>
            </w:pPr>
            <w:r w:rsidRPr="0004405B">
              <w:rPr>
                <w:rFonts w:ascii="Arial" w:hAnsi="Arial" w:cs="Arial"/>
                <w:sz w:val="22"/>
                <w:szCs w:val="22"/>
                <w:lang w:val="es-ES"/>
              </w:rPr>
              <w:t>Garantizar la calidad de los elementos suministrados por un tiempo mínimo de un año (1), contados a partir del recibo a satisfacción de los equipos.</w:t>
            </w:r>
          </w:p>
          <w:p w:rsidR="0004405B" w:rsidRPr="0004405B" w:rsidRDefault="0004405B" w:rsidP="00D823CD">
            <w:pPr>
              <w:numPr>
                <w:ilvl w:val="0"/>
                <w:numId w:val="23"/>
              </w:numPr>
              <w:ind w:left="742"/>
              <w:rPr>
                <w:rFonts w:ascii="Arial" w:hAnsi="Arial" w:cs="Arial"/>
                <w:sz w:val="22"/>
                <w:szCs w:val="22"/>
                <w:lang w:val="es-ES"/>
              </w:rPr>
            </w:pPr>
            <w:r w:rsidRPr="0004405B">
              <w:rPr>
                <w:rFonts w:ascii="Arial" w:hAnsi="Arial" w:cs="Arial"/>
                <w:sz w:val="22"/>
                <w:szCs w:val="22"/>
                <w:lang w:val="es-ES"/>
              </w:rPr>
              <w:t>Actuar con lealtad y buena fe en desarrollo del objeto contractual.</w:t>
            </w:r>
          </w:p>
          <w:p w:rsidR="0004405B" w:rsidRPr="0004405B" w:rsidRDefault="0004405B" w:rsidP="00D823CD">
            <w:pPr>
              <w:numPr>
                <w:ilvl w:val="0"/>
                <w:numId w:val="23"/>
              </w:numPr>
              <w:ind w:left="742"/>
              <w:rPr>
                <w:rFonts w:ascii="Arial" w:hAnsi="Arial" w:cs="Arial"/>
                <w:sz w:val="22"/>
                <w:szCs w:val="22"/>
                <w:lang w:val="es-ES"/>
              </w:rPr>
            </w:pPr>
            <w:r w:rsidRPr="0004405B">
              <w:rPr>
                <w:rFonts w:ascii="Arial" w:hAnsi="Arial" w:cs="Arial"/>
                <w:sz w:val="22"/>
                <w:szCs w:val="22"/>
                <w:lang w:val="es-ES"/>
              </w:rPr>
              <w:t>Dar observancia a las normas vigentes aplicables al desarrollo del objeto de Telecaribe</w:t>
            </w:r>
          </w:p>
          <w:p w:rsidR="0004405B" w:rsidRPr="0004405B" w:rsidRDefault="0004405B" w:rsidP="00D823CD">
            <w:pPr>
              <w:numPr>
                <w:ilvl w:val="0"/>
                <w:numId w:val="23"/>
              </w:numPr>
              <w:ind w:left="742"/>
              <w:rPr>
                <w:rFonts w:ascii="Arial" w:hAnsi="Arial" w:cs="Arial"/>
                <w:sz w:val="22"/>
                <w:szCs w:val="22"/>
                <w:lang w:val="es-ES"/>
              </w:rPr>
            </w:pPr>
            <w:r w:rsidRPr="0004405B">
              <w:rPr>
                <w:rFonts w:ascii="Arial" w:hAnsi="Arial" w:cs="Arial"/>
                <w:sz w:val="22"/>
                <w:szCs w:val="22"/>
                <w:lang w:val="es-ES"/>
              </w:rPr>
              <w:t>Acreditar al momento de la suscripción del contrato y durante la ejecución del mismo, el cumplimiento de las obligaciones frente al sistema de Seguridad Social Integral</w:t>
            </w:r>
          </w:p>
          <w:p w:rsidR="0004405B" w:rsidRPr="0004405B" w:rsidRDefault="0004405B" w:rsidP="000E0D52">
            <w:pPr>
              <w:numPr>
                <w:ilvl w:val="0"/>
                <w:numId w:val="23"/>
              </w:numPr>
              <w:ind w:left="742"/>
              <w:rPr>
                <w:rFonts w:ascii="Arial" w:hAnsi="Arial" w:cs="Arial"/>
                <w:sz w:val="22"/>
                <w:szCs w:val="22"/>
                <w:lang w:val="es-ES"/>
              </w:rPr>
            </w:pPr>
            <w:r w:rsidRPr="0004405B">
              <w:rPr>
                <w:rFonts w:ascii="Arial" w:hAnsi="Arial" w:cs="Arial"/>
                <w:sz w:val="22"/>
                <w:szCs w:val="22"/>
                <w:lang w:val="es-ES"/>
              </w:rPr>
              <w:t>Mantener los precios ofrecidos en la propuesta durante la vigencia del contrato.</w:t>
            </w: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r w:rsidRPr="0004405B">
              <w:rPr>
                <w:rFonts w:ascii="Arial" w:hAnsi="Arial" w:cs="Arial"/>
                <w:sz w:val="22"/>
                <w:szCs w:val="22"/>
              </w:rPr>
              <w:t>Obligaciones de Telecaribe</w:t>
            </w:r>
          </w:p>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p>
        </w:tc>
        <w:tc>
          <w:tcPr>
            <w:tcW w:w="7087" w:type="dxa"/>
          </w:tcPr>
          <w:p w:rsidR="0004405B" w:rsidRPr="0004405B" w:rsidRDefault="0004405B" w:rsidP="00D823CD">
            <w:pPr>
              <w:numPr>
                <w:ilvl w:val="0"/>
                <w:numId w:val="24"/>
              </w:numPr>
              <w:autoSpaceDE w:val="0"/>
              <w:autoSpaceDN w:val="0"/>
              <w:adjustRightInd w:val="0"/>
              <w:jc w:val="both"/>
              <w:rPr>
                <w:rFonts w:ascii="Arial" w:hAnsi="Arial" w:cs="Arial"/>
                <w:bCs/>
                <w:sz w:val="22"/>
                <w:szCs w:val="22"/>
                <w:lang w:val="es-ES"/>
              </w:rPr>
            </w:pPr>
            <w:r w:rsidRPr="0004405B">
              <w:rPr>
                <w:rFonts w:ascii="Arial" w:hAnsi="Arial" w:cs="Arial"/>
                <w:bCs/>
                <w:sz w:val="22"/>
                <w:szCs w:val="22"/>
                <w:lang w:val="es-ES"/>
              </w:rPr>
              <w:t>Cancelar al CONTRATISTA el valor de los bienes adquiridos en la oportunidad y formas aquí establecidas.</w:t>
            </w:r>
          </w:p>
          <w:p w:rsidR="0004405B" w:rsidRPr="0004405B" w:rsidRDefault="0004405B" w:rsidP="00D823CD">
            <w:pPr>
              <w:numPr>
                <w:ilvl w:val="0"/>
                <w:numId w:val="24"/>
              </w:numPr>
              <w:autoSpaceDE w:val="0"/>
              <w:autoSpaceDN w:val="0"/>
              <w:adjustRightInd w:val="0"/>
              <w:jc w:val="both"/>
              <w:rPr>
                <w:rFonts w:ascii="Arial" w:hAnsi="Arial" w:cs="Arial"/>
                <w:bCs/>
                <w:sz w:val="22"/>
                <w:szCs w:val="22"/>
                <w:lang w:val="es-ES"/>
              </w:rPr>
            </w:pPr>
            <w:r w:rsidRPr="0004405B">
              <w:rPr>
                <w:rFonts w:ascii="Arial" w:hAnsi="Arial" w:cs="Arial"/>
                <w:bCs/>
                <w:sz w:val="22"/>
                <w:szCs w:val="22"/>
                <w:lang w:val="es-ES"/>
              </w:rPr>
              <w:t xml:space="preserve">Suscribir el acta de entrega y recibo del bien por parte del Interventor del  contrato. </w:t>
            </w:r>
          </w:p>
          <w:p w:rsidR="0004405B" w:rsidRPr="0004405B" w:rsidRDefault="0004405B" w:rsidP="00D823CD">
            <w:pPr>
              <w:autoSpaceDE w:val="0"/>
              <w:autoSpaceDN w:val="0"/>
              <w:adjustRightInd w:val="0"/>
              <w:ind w:left="720"/>
              <w:jc w:val="both"/>
              <w:rPr>
                <w:rFonts w:ascii="Arial" w:hAnsi="Arial" w:cs="Arial"/>
                <w:bCs/>
                <w:sz w:val="22"/>
                <w:szCs w:val="22"/>
                <w:lang w:val="es-ES"/>
              </w:rPr>
            </w:pPr>
            <w:r w:rsidRPr="0004405B">
              <w:rPr>
                <w:rFonts w:ascii="Arial" w:hAnsi="Arial" w:cs="Arial"/>
                <w:bCs/>
                <w:sz w:val="22"/>
                <w:szCs w:val="22"/>
                <w:lang w:val="es-ES"/>
              </w:rPr>
              <w:t>Supervisar el desarrollo del contrato.</w:t>
            </w: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r w:rsidRPr="0004405B">
              <w:rPr>
                <w:rFonts w:ascii="Arial" w:hAnsi="Arial" w:cs="Arial"/>
                <w:sz w:val="22"/>
                <w:szCs w:val="22"/>
              </w:rPr>
              <w:t>Plazo de Ejecución</w:t>
            </w:r>
          </w:p>
          <w:p w:rsidR="0004405B" w:rsidRPr="0004405B" w:rsidRDefault="0004405B" w:rsidP="00C16C22">
            <w:pPr>
              <w:rPr>
                <w:rFonts w:ascii="Arial" w:hAnsi="Arial" w:cs="Arial"/>
                <w:sz w:val="22"/>
                <w:szCs w:val="22"/>
              </w:rPr>
            </w:pPr>
          </w:p>
        </w:tc>
        <w:tc>
          <w:tcPr>
            <w:tcW w:w="7087" w:type="dxa"/>
          </w:tcPr>
          <w:p w:rsidR="0004405B" w:rsidRPr="0004405B" w:rsidRDefault="0004405B" w:rsidP="0091551E">
            <w:pPr>
              <w:rPr>
                <w:rFonts w:ascii="Arial" w:hAnsi="Arial" w:cs="Arial"/>
                <w:bCs/>
                <w:sz w:val="22"/>
                <w:szCs w:val="22"/>
                <w:lang w:val="es-ES"/>
              </w:rPr>
            </w:pPr>
          </w:p>
          <w:p w:rsidR="0004405B" w:rsidRPr="0004405B" w:rsidRDefault="0004405B" w:rsidP="00992B99">
            <w:pPr>
              <w:rPr>
                <w:rFonts w:ascii="Arial" w:hAnsi="Arial" w:cs="Arial"/>
                <w:sz w:val="22"/>
                <w:szCs w:val="22"/>
                <w:lang w:val="es-ES"/>
              </w:rPr>
            </w:pPr>
            <w:r w:rsidRPr="0004405B">
              <w:rPr>
                <w:rFonts w:ascii="Arial" w:hAnsi="Arial" w:cs="Arial"/>
                <w:bCs/>
                <w:sz w:val="22"/>
                <w:szCs w:val="22"/>
              </w:rPr>
              <w:t>El plazo de ejecución será de cuarenta y cinco (45) días calendario contados a partir del perfeccionamiento del contrato.</w:t>
            </w: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91551E">
            <w:pPr>
              <w:rPr>
                <w:rFonts w:ascii="Arial" w:hAnsi="Arial" w:cs="Arial"/>
                <w:sz w:val="22"/>
                <w:szCs w:val="22"/>
              </w:rPr>
            </w:pPr>
            <w:r w:rsidRPr="0004405B">
              <w:rPr>
                <w:rFonts w:ascii="Arial" w:hAnsi="Arial" w:cs="Arial"/>
                <w:sz w:val="22"/>
                <w:szCs w:val="22"/>
              </w:rPr>
              <w:t>Forma de pago</w:t>
            </w:r>
          </w:p>
          <w:p w:rsidR="0004405B" w:rsidRPr="0004405B" w:rsidRDefault="0004405B" w:rsidP="0091551E">
            <w:pPr>
              <w:rPr>
                <w:rFonts w:ascii="Arial" w:hAnsi="Arial" w:cs="Arial"/>
                <w:sz w:val="22"/>
                <w:szCs w:val="22"/>
              </w:rPr>
            </w:pPr>
          </w:p>
        </w:tc>
        <w:tc>
          <w:tcPr>
            <w:tcW w:w="7087" w:type="dxa"/>
          </w:tcPr>
          <w:p w:rsidR="0004405B" w:rsidRPr="0004405B" w:rsidRDefault="0004405B" w:rsidP="002A042C">
            <w:pPr>
              <w:pStyle w:val="Default"/>
              <w:jc w:val="both"/>
              <w:rPr>
                <w:rFonts w:ascii="Arial" w:hAnsi="Arial" w:cs="Arial"/>
                <w:sz w:val="22"/>
                <w:szCs w:val="22"/>
                <w:lang w:val="es-ES"/>
              </w:rPr>
            </w:pPr>
            <w:r w:rsidRPr="0004405B">
              <w:rPr>
                <w:rFonts w:ascii="Arial" w:hAnsi="Arial" w:cs="Arial"/>
                <w:sz w:val="22"/>
                <w:szCs w:val="22"/>
                <w:lang w:val="es-ES"/>
              </w:rPr>
              <w:t>El valor del contrato se pagará de la siguiente manera: 50% como pago anticipado una vez se suscriba el contrato y 50% a la entrega a satisfacción del sistema, previo vist</w:t>
            </w:r>
            <w:bookmarkStart w:id="0" w:name="_GoBack"/>
            <w:bookmarkEnd w:id="0"/>
            <w:r w:rsidRPr="0004405B">
              <w:rPr>
                <w:rFonts w:ascii="Arial" w:hAnsi="Arial" w:cs="Arial"/>
                <w:sz w:val="22"/>
                <w:szCs w:val="22"/>
                <w:lang w:val="es-ES"/>
              </w:rPr>
              <w:t>o bueno y certificación del interventor. Para el desembolso del anticipo se debe presentar un cronograma de ejecución, aprobado por el Interventor del proyecto.</w:t>
            </w:r>
          </w:p>
          <w:p w:rsidR="0004405B" w:rsidRPr="0004405B" w:rsidRDefault="0004405B" w:rsidP="002A042C">
            <w:pPr>
              <w:rPr>
                <w:rFonts w:ascii="Arial" w:hAnsi="Arial" w:cs="Arial"/>
                <w:sz w:val="22"/>
                <w:szCs w:val="22"/>
                <w:lang w:val="es-CO"/>
              </w:rPr>
            </w:pP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r w:rsidRPr="0004405B">
              <w:rPr>
                <w:rFonts w:ascii="Arial" w:hAnsi="Arial" w:cs="Arial"/>
                <w:sz w:val="22"/>
                <w:szCs w:val="22"/>
              </w:rPr>
              <w:t>Contratista sugerido</w:t>
            </w:r>
          </w:p>
          <w:p w:rsidR="0004405B" w:rsidRPr="0004405B" w:rsidRDefault="0004405B" w:rsidP="00C16C22">
            <w:pPr>
              <w:rPr>
                <w:rFonts w:ascii="Arial" w:hAnsi="Arial" w:cs="Arial"/>
                <w:sz w:val="22"/>
                <w:szCs w:val="22"/>
              </w:rPr>
            </w:pPr>
          </w:p>
        </w:tc>
        <w:tc>
          <w:tcPr>
            <w:tcW w:w="7087" w:type="dxa"/>
          </w:tcPr>
          <w:p w:rsidR="0004405B" w:rsidRPr="0004405B" w:rsidRDefault="0004405B" w:rsidP="002A042C">
            <w:pPr>
              <w:rPr>
                <w:rFonts w:ascii="Arial" w:hAnsi="Arial" w:cs="Arial"/>
                <w:sz w:val="22"/>
                <w:szCs w:val="22"/>
                <w:lang w:val="es-ES"/>
              </w:rPr>
            </w:pPr>
            <w:r w:rsidRPr="0004405B">
              <w:rPr>
                <w:rFonts w:ascii="Arial" w:hAnsi="Arial" w:cs="Arial"/>
                <w:sz w:val="22"/>
                <w:szCs w:val="22"/>
                <w:lang w:val="es-ES"/>
              </w:rPr>
              <w:t xml:space="preserve"> </w:t>
            </w:r>
          </w:p>
          <w:p w:rsidR="0004405B" w:rsidRPr="0004405B" w:rsidRDefault="0004405B" w:rsidP="002A042C">
            <w:pPr>
              <w:rPr>
                <w:rFonts w:ascii="Arial" w:hAnsi="Arial" w:cs="Arial"/>
                <w:sz w:val="22"/>
                <w:szCs w:val="22"/>
                <w:lang w:val="es-ES"/>
              </w:rPr>
            </w:pPr>
            <w:r w:rsidRPr="0004405B">
              <w:rPr>
                <w:rFonts w:ascii="Arial" w:hAnsi="Arial" w:cs="Arial"/>
                <w:sz w:val="22"/>
                <w:szCs w:val="22"/>
              </w:rPr>
              <w:t>Quien resulte elegido en el proceso de Convocatoria</w:t>
            </w:r>
          </w:p>
        </w:tc>
      </w:tr>
      <w:tr w:rsidR="0004405B" w:rsidRPr="0004405B" w:rsidTr="0004405B">
        <w:tc>
          <w:tcPr>
            <w:tcW w:w="2410" w:type="dxa"/>
          </w:tcPr>
          <w:p w:rsidR="0004405B" w:rsidRPr="0004405B" w:rsidRDefault="0004405B" w:rsidP="00C16C22">
            <w:pPr>
              <w:rPr>
                <w:rFonts w:ascii="Arial" w:hAnsi="Arial" w:cs="Arial"/>
                <w:sz w:val="22"/>
                <w:szCs w:val="22"/>
                <w:lang w:val="es-ES"/>
              </w:rPr>
            </w:pPr>
          </w:p>
          <w:p w:rsidR="0004405B" w:rsidRPr="0004405B" w:rsidRDefault="0004405B" w:rsidP="00C16C22">
            <w:pPr>
              <w:rPr>
                <w:rFonts w:ascii="Arial" w:hAnsi="Arial" w:cs="Arial"/>
                <w:sz w:val="22"/>
                <w:szCs w:val="22"/>
              </w:rPr>
            </w:pPr>
            <w:r w:rsidRPr="0004405B">
              <w:rPr>
                <w:rFonts w:ascii="Arial" w:hAnsi="Arial" w:cs="Arial"/>
                <w:sz w:val="22"/>
                <w:szCs w:val="22"/>
              </w:rPr>
              <w:t>Riesgos previsibles que puedan afectar el equilibrio económico del contrato</w:t>
            </w:r>
          </w:p>
          <w:p w:rsidR="0004405B" w:rsidRPr="0004405B" w:rsidRDefault="0004405B" w:rsidP="00C16C22">
            <w:pPr>
              <w:rPr>
                <w:rFonts w:ascii="Arial" w:hAnsi="Arial" w:cs="Arial"/>
                <w:sz w:val="22"/>
                <w:szCs w:val="22"/>
              </w:rPr>
            </w:pPr>
          </w:p>
        </w:tc>
        <w:tc>
          <w:tcPr>
            <w:tcW w:w="7087" w:type="dxa"/>
          </w:tcPr>
          <w:p w:rsidR="0004405B" w:rsidRPr="0004405B" w:rsidRDefault="0004405B" w:rsidP="0091551E">
            <w:pPr>
              <w:rPr>
                <w:rFonts w:ascii="Arial" w:hAnsi="Arial" w:cs="Arial"/>
                <w:sz w:val="22"/>
                <w:szCs w:val="22"/>
                <w:lang w:val="es-ES"/>
              </w:rPr>
            </w:pPr>
          </w:p>
          <w:p w:rsidR="0004405B" w:rsidRPr="0004405B" w:rsidRDefault="0004405B" w:rsidP="0091551E">
            <w:pPr>
              <w:rPr>
                <w:rFonts w:ascii="Arial" w:hAnsi="Arial" w:cs="Arial"/>
                <w:sz w:val="22"/>
                <w:szCs w:val="22"/>
                <w:lang w:val="es-ES"/>
              </w:rPr>
            </w:pPr>
            <w:r w:rsidRPr="0004405B">
              <w:rPr>
                <w:rFonts w:ascii="Arial" w:hAnsi="Arial" w:cs="Arial"/>
                <w:sz w:val="22"/>
                <w:szCs w:val="22"/>
                <w:lang w:val="es-ES"/>
              </w:rPr>
              <w:t>Existen los riesgos relacionados con el cumplimiento y calidad de los servicios prestados, por lo cual, el Contratista debe constituir garantía única de cumplimiento y calidad del servicio.</w:t>
            </w:r>
          </w:p>
          <w:p w:rsidR="0004405B" w:rsidRPr="0004405B" w:rsidRDefault="0004405B" w:rsidP="00C16C22">
            <w:pPr>
              <w:rPr>
                <w:rFonts w:ascii="Arial" w:hAnsi="Arial" w:cs="Arial"/>
                <w:sz w:val="22"/>
                <w:szCs w:val="22"/>
                <w:lang w:val="es-ES"/>
              </w:rPr>
            </w:pPr>
          </w:p>
        </w:tc>
      </w:tr>
      <w:tr w:rsidR="0004405B" w:rsidRPr="0004405B" w:rsidTr="0004405B">
        <w:tc>
          <w:tcPr>
            <w:tcW w:w="2410" w:type="dxa"/>
          </w:tcPr>
          <w:p w:rsidR="0004405B" w:rsidRPr="0004405B" w:rsidRDefault="0004405B" w:rsidP="00C16C22">
            <w:pPr>
              <w:rPr>
                <w:rFonts w:ascii="Arial" w:hAnsi="Arial" w:cs="Arial"/>
                <w:sz w:val="22"/>
                <w:szCs w:val="22"/>
              </w:rPr>
            </w:pPr>
          </w:p>
          <w:p w:rsidR="0004405B" w:rsidRPr="0004405B" w:rsidRDefault="0004405B" w:rsidP="00C16C22">
            <w:pPr>
              <w:rPr>
                <w:rFonts w:ascii="Arial" w:hAnsi="Arial" w:cs="Arial"/>
                <w:sz w:val="22"/>
                <w:szCs w:val="22"/>
              </w:rPr>
            </w:pPr>
            <w:r w:rsidRPr="0004405B">
              <w:rPr>
                <w:rFonts w:ascii="Arial" w:hAnsi="Arial" w:cs="Arial"/>
                <w:sz w:val="22"/>
                <w:szCs w:val="22"/>
              </w:rPr>
              <w:t>Condiciones técnicas exigidas</w:t>
            </w:r>
          </w:p>
        </w:tc>
        <w:tc>
          <w:tcPr>
            <w:tcW w:w="7087" w:type="dxa"/>
          </w:tcPr>
          <w:p w:rsidR="0004405B" w:rsidRPr="0004405B" w:rsidRDefault="0004405B" w:rsidP="00320D47">
            <w:pPr>
              <w:rPr>
                <w:rFonts w:ascii="Arial" w:hAnsi="Arial" w:cs="Arial"/>
                <w:sz w:val="22"/>
                <w:szCs w:val="22"/>
              </w:rPr>
            </w:pPr>
            <w:r w:rsidRPr="0004405B">
              <w:rPr>
                <w:rFonts w:ascii="Arial" w:hAnsi="Arial" w:cs="Arial"/>
                <w:bCs/>
                <w:sz w:val="22"/>
                <w:szCs w:val="22"/>
                <w:lang w:val="es-ES"/>
              </w:rPr>
              <w:t>Garantizar la calidad de los elementos suministrados por un tiempo mínimo de un (1) año, contados a partir del recibo a satisfacción de los equipos</w:t>
            </w:r>
          </w:p>
        </w:tc>
      </w:tr>
      <w:tr w:rsidR="0004405B" w:rsidRPr="0004405B" w:rsidTr="0004405B">
        <w:tc>
          <w:tcPr>
            <w:tcW w:w="2410" w:type="dxa"/>
          </w:tcPr>
          <w:p w:rsidR="0004405B" w:rsidRPr="0004405B" w:rsidRDefault="0004405B" w:rsidP="00332500">
            <w:pPr>
              <w:rPr>
                <w:rFonts w:ascii="Arial" w:hAnsi="Arial" w:cs="Arial"/>
                <w:sz w:val="22"/>
                <w:szCs w:val="22"/>
              </w:rPr>
            </w:pPr>
          </w:p>
          <w:p w:rsidR="0004405B" w:rsidRPr="0004405B" w:rsidRDefault="0004405B" w:rsidP="000973C9">
            <w:pPr>
              <w:rPr>
                <w:rFonts w:ascii="Arial" w:hAnsi="Arial" w:cs="Arial"/>
                <w:sz w:val="22"/>
                <w:szCs w:val="22"/>
              </w:rPr>
            </w:pPr>
            <w:r w:rsidRPr="0004405B">
              <w:rPr>
                <w:rFonts w:ascii="Arial" w:hAnsi="Arial" w:cs="Arial"/>
                <w:sz w:val="22"/>
                <w:szCs w:val="22"/>
              </w:rPr>
              <w:t>Análisis que sustenta  la exigencia o no de las garantías</w:t>
            </w:r>
          </w:p>
        </w:tc>
        <w:tc>
          <w:tcPr>
            <w:tcW w:w="7087" w:type="dxa"/>
          </w:tcPr>
          <w:p w:rsidR="0004405B" w:rsidRPr="0004405B" w:rsidRDefault="0004405B" w:rsidP="002A042C">
            <w:pPr>
              <w:shd w:val="clear" w:color="auto" w:fill="FFFFFF"/>
              <w:jc w:val="both"/>
              <w:rPr>
                <w:rFonts w:ascii="Arial" w:hAnsi="Arial" w:cs="Arial"/>
                <w:color w:val="222222"/>
                <w:sz w:val="22"/>
                <w:szCs w:val="22"/>
              </w:rPr>
            </w:pPr>
            <w:r w:rsidRPr="0004405B">
              <w:rPr>
                <w:rFonts w:ascii="Arial" w:hAnsi="Arial" w:cs="Arial"/>
                <w:color w:val="222222"/>
                <w:sz w:val="22"/>
                <w:szCs w:val="22"/>
              </w:rPr>
              <w:t>El Contratista se obliga a constituir a favor Telecaribe, la garantía única del contrato, la cual podrá consistir en una garantía bancaria o en una póliza de seguros, con los siguientes amparos:</w:t>
            </w:r>
          </w:p>
          <w:p w:rsidR="0004405B" w:rsidRPr="0004405B" w:rsidRDefault="0004405B" w:rsidP="002A042C">
            <w:pPr>
              <w:shd w:val="clear" w:color="auto" w:fill="FFFFFF"/>
              <w:jc w:val="both"/>
              <w:rPr>
                <w:rFonts w:ascii="Arial" w:hAnsi="Arial" w:cs="Arial"/>
                <w:color w:val="222222"/>
                <w:sz w:val="22"/>
                <w:szCs w:val="22"/>
              </w:rPr>
            </w:pPr>
            <w:r w:rsidRPr="0004405B">
              <w:rPr>
                <w:rFonts w:ascii="Arial" w:hAnsi="Arial" w:cs="Arial"/>
                <w:color w:val="222222"/>
                <w:sz w:val="22"/>
                <w:szCs w:val="22"/>
              </w:rPr>
              <w:t>SERIDAD DE LA OFERTA:</w:t>
            </w:r>
            <w:r w:rsidRPr="0004405B">
              <w:rPr>
                <w:rStyle w:val="apple-converted-space"/>
                <w:rFonts w:ascii="Arial" w:hAnsi="Arial" w:cs="Arial"/>
                <w:color w:val="222222"/>
                <w:sz w:val="22"/>
                <w:szCs w:val="22"/>
              </w:rPr>
              <w:t> </w:t>
            </w:r>
            <w:r w:rsidRPr="0004405B">
              <w:rPr>
                <w:rFonts w:ascii="Arial" w:hAnsi="Arial" w:cs="Arial"/>
                <w:color w:val="222222"/>
                <w:sz w:val="22"/>
                <w:szCs w:val="22"/>
              </w:rPr>
              <w:t xml:space="preserve">El OFERENTE deberá garantizar el </w:t>
            </w:r>
            <w:r w:rsidRPr="0004405B">
              <w:rPr>
                <w:rFonts w:ascii="Arial" w:hAnsi="Arial" w:cs="Arial"/>
                <w:color w:val="222222"/>
                <w:sz w:val="22"/>
                <w:szCs w:val="22"/>
              </w:rPr>
              <w:lastRenderedPageBreak/>
              <w:t>cumplimiento de la oferta que hace dentro del presente proceso de selección y la consiguiente aceptación de la orden respectiva en caso de que ésta le sea adjudicada, mediante la constitución de una póliza de garantía de seriedad de la misma, a favor de TELECARIBE LTDA. Nit. No.890.116.965-0 por un valor equivalente al diez por ciento (10%) del total del presupuesto oficial asignado al grupo o grupos a los que hace propuesta, con una vigencia mínimo de noventa (90) días calendario contados a partir de la fecha definitiva de cierre el presente proceso de Licitación pública y sus prórrogas si las hubiere; termino que se considera como validez de la oferta.</w:t>
            </w:r>
          </w:p>
          <w:p w:rsidR="0004405B" w:rsidRPr="0004405B" w:rsidRDefault="0004405B" w:rsidP="002A042C">
            <w:pPr>
              <w:shd w:val="clear" w:color="auto" w:fill="FFFFFF"/>
              <w:jc w:val="both"/>
              <w:rPr>
                <w:rFonts w:ascii="Arial" w:hAnsi="Arial" w:cs="Arial"/>
                <w:color w:val="222222"/>
                <w:sz w:val="22"/>
                <w:szCs w:val="22"/>
              </w:rPr>
            </w:pPr>
            <w:r w:rsidRPr="0004405B">
              <w:rPr>
                <w:rFonts w:ascii="Arial" w:hAnsi="Arial" w:cs="Arial"/>
                <w:color w:val="222222"/>
                <w:sz w:val="22"/>
                <w:szCs w:val="22"/>
              </w:rPr>
              <w:t>DE BUEN MANEJO Y CORRECTA INVERSIÓN DEL PAGO ANTICIPADO: Para garantizar el Buen Manejo y Correcta Inversión del pago, por una suma equivalente al cien por ciento (100%) del monto que el Contratista reciba a título de anticipo y con una vigencia que cubra el plazo de ejecución del contrato y hasta la liquidación del mismo.</w:t>
            </w:r>
          </w:p>
          <w:p w:rsidR="0004405B" w:rsidRPr="0004405B" w:rsidRDefault="0004405B" w:rsidP="002A042C">
            <w:pPr>
              <w:shd w:val="clear" w:color="auto" w:fill="FFFFFF"/>
              <w:jc w:val="both"/>
              <w:rPr>
                <w:rFonts w:ascii="Arial" w:hAnsi="Arial" w:cs="Arial"/>
                <w:color w:val="222222"/>
                <w:sz w:val="22"/>
                <w:szCs w:val="22"/>
              </w:rPr>
            </w:pPr>
            <w:r w:rsidRPr="0004405B">
              <w:rPr>
                <w:rFonts w:ascii="Arial" w:hAnsi="Arial" w:cs="Arial"/>
                <w:color w:val="222222"/>
                <w:sz w:val="22"/>
                <w:szCs w:val="22"/>
              </w:rPr>
              <w:t>CALIDAD: El amparo de calidad del servicio cubre al Canal Telecaribe de los perjuicios imputables al contratista garantizado que surjan con posterioridad a la terminación del contrato y que se deriven de  (i) la mala calidad o insuficiencia de los productos entregados con ocasión de un contrato de consultoría, o (ii) de la mala calidad del servicio prestado, teniendo en cuenta las condiciones pactadas en el contrato, vigente desde la suscripción del contrato, incluyendo su  plazo de ejecución y vigencia, y cuatro (4) meses más, por un valor equivalente al 20% del valor del contrato.</w:t>
            </w:r>
          </w:p>
          <w:p w:rsidR="0004405B" w:rsidRPr="0004405B" w:rsidRDefault="0004405B" w:rsidP="002A042C">
            <w:pPr>
              <w:shd w:val="clear" w:color="auto" w:fill="FFFFFF"/>
              <w:jc w:val="both"/>
              <w:rPr>
                <w:rFonts w:ascii="Arial" w:hAnsi="Arial" w:cs="Arial"/>
                <w:color w:val="222222"/>
                <w:sz w:val="22"/>
                <w:szCs w:val="22"/>
              </w:rPr>
            </w:pPr>
            <w:r w:rsidRPr="0004405B">
              <w:rPr>
                <w:rFonts w:ascii="Arial" w:hAnsi="Arial" w:cs="Arial"/>
                <w:color w:val="222222"/>
                <w:sz w:val="22"/>
                <w:szCs w:val="22"/>
              </w:rPr>
              <w:t>DE CUMPLIMIENTO: Para precaver los perjuicios derivados del incumplimiento total o parcial, imputables al afianzado contratista de las obligaciones emanadas del contrato, así como de su cumplimiento tardío o su cumplimiento defectuoso, por un valor equivalente al diez por ciento (10%) del valor total del contrato y con una vigencia que cubra el plazo de ejecución del contrato y cinco (5) meses más.</w:t>
            </w:r>
          </w:p>
          <w:p w:rsidR="0004405B" w:rsidRPr="0004405B" w:rsidRDefault="0004405B" w:rsidP="002A042C">
            <w:pPr>
              <w:shd w:val="clear" w:color="auto" w:fill="FFFFFF"/>
              <w:jc w:val="both"/>
              <w:rPr>
                <w:rFonts w:ascii="Arial" w:hAnsi="Arial" w:cs="Arial"/>
                <w:color w:val="222222"/>
                <w:sz w:val="22"/>
                <w:szCs w:val="22"/>
              </w:rPr>
            </w:pPr>
            <w:r w:rsidRPr="0004405B">
              <w:rPr>
                <w:rFonts w:ascii="Arial" w:hAnsi="Arial" w:cs="Arial"/>
                <w:color w:val="222222"/>
                <w:sz w:val="22"/>
                <w:szCs w:val="22"/>
              </w:rPr>
              <w:t>CALIDAD Y CORRECTO FUNCIONAMIENTO DE LOS BIENES Y EQUIPOS SUMINISTRADOS</w:t>
            </w:r>
            <w:r w:rsidRPr="0004405B">
              <w:rPr>
                <w:rStyle w:val="apple-converted-space"/>
                <w:rFonts w:ascii="Arial" w:hAnsi="Arial" w:cs="Arial"/>
                <w:color w:val="222222"/>
                <w:sz w:val="22"/>
                <w:szCs w:val="22"/>
              </w:rPr>
              <w:t> </w:t>
            </w:r>
            <w:r w:rsidRPr="0004405B">
              <w:rPr>
                <w:rFonts w:ascii="Arial" w:hAnsi="Arial" w:cs="Arial"/>
                <w:color w:val="222222"/>
                <w:sz w:val="22"/>
                <w:szCs w:val="22"/>
              </w:rPr>
              <w:t>Por un valor equivalente al diez por ciento (10%) del valor del contrato, por el plazo del mismo y un (1) año más</w:t>
            </w:r>
          </w:p>
          <w:p w:rsidR="0004405B" w:rsidRPr="0004405B" w:rsidRDefault="0004405B" w:rsidP="002A042C">
            <w:pPr>
              <w:jc w:val="both"/>
              <w:rPr>
                <w:rFonts w:ascii="Arial" w:hAnsi="Arial" w:cs="Arial"/>
                <w:sz w:val="22"/>
                <w:szCs w:val="22"/>
              </w:rPr>
            </w:pPr>
          </w:p>
        </w:tc>
      </w:tr>
      <w:tr w:rsidR="0004405B" w:rsidRPr="0004405B" w:rsidTr="0004405B">
        <w:trPr>
          <w:trHeight w:val="705"/>
        </w:trPr>
        <w:tc>
          <w:tcPr>
            <w:tcW w:w="2410" w:type="dxa"/>
          </w:tcPr>
          <w:p w:rsidR="0004405B" w:rsidRPr="0004405B" w:rsidRDefault="0004405B" w:rsidP="00332500">
            <w:pPr>
              <w:rPr>
                <w:rFonts w:ascii="Arial" w:hAnsi="Arial" w:cs="Arial"/>
                <w:sz w:val="22"/>
                <w:szCs w:val="22"/>
              </w:rPr>
            </w:pPr>
          </w:p>
          <w:p w:rsidR="0004405B" w:rsidRPr="0004405B" w:rsidRDefault="0004405B" w:rsidP="000973C9">
            <w:pPr>
              <w:rPr>
                <w:rFonts w:ascii="Arial" w:hAnsi="Arial" w:cs="Arial"/>
                <w:sz w:val="22"/>
                <w:szCs w:val="22"/>
              </w:rPr>
            </w:pPr>
            <w:r w:rsidRPr="0004405B">
              <w:rPr>
                <w:rFonts w:ascii="Arial" w:hAnsi="Arial" w:cs="Arial"/>
                <w:sz w:val="22"/>
                <w:szCs w:val="22"/>
              </w:rPr>
              <w:t>Interventor y/o Supervisor del Contrato</w:t>
            </w:r>
          </w:p>
        </w:tc>
        <w:tc>
          <w:tcPr>
            <w:tcW w:w="7087" w:type="dxa"/>
          </w:tcPr>
          <w:p w:rsidR="0004405B" w:rsidRPr="0004405B" w:rsidRDefault="0004405B" w:rsidP="00C16C22">
            <w:pPr>
              <w:rPr>
                <w:rFonts w:ascii="Arial" w:hAnsi="Arial" w:cs="Arial"/>
                <w:sz w:val="22"/>
                <w:szCs w:val="22"/>
              </w:rPr>
            </w:pPr>
          </w:p>
          <w:p w:rsidR="0004405B" w:rsidRPr="0004405B" w:rsidRDefault="0004405B" w:rsidP="005E41FF">
            <w:pPr>
              <w:rPr>
                <w:rFonts w:ascii="Arial" w:hAnsi="Arial" w:cs="Arial"/>
                <w:bCs/>
                <w:sz w:val="22"/>
                <w:szCs w:val="22"/>
              </w:rPr>
            </w:pPr>
            <w:r w:rsidRPr="0004405B">
              <w:rPr>
                <w:rFonts w:ascii="Arial" w:hAnsi="Arial" w:cs="Arial"/>
                <w:bCs/>
                <w:sz w:val="22"/>
                <w:szCs w:val="22"/>
              </w:rPr>
              <w:t>JEFE DIVISIÓN DE INGENIERÍA O A QUIEN DELEGUE</w:t>
            </w:r>
          </w:p>
          <w:p w:rsidR="0004405B" w:rsidRPr="0004405B" w:rsidRDefault="0004405B" w:rsidP="00C16C22">
            <w:pPr>
              <w:rPr>
                <w:rFonts w:ascii="Arial" w:hAnsi="Arial" w:cs="Arial"/>
                <w:sz w:val="22"/>
                <w:szCs w:val="22"/>
              </w:rPr>
            </w:pPr>
          </w:p>
        </w:tc>
      </w:tr>
      <w:tr w:rsidR="0004405B" w:rsidRPr="0004405B" w:rsidTr="0004405B">
        <w:trPr>
          <w:trHeight w:val="705"/>
        </w:trPr>
        <w:tc>
          <w:tcPr>
            <w:tcW w:w="2410" w:type="dxa"/>
          </w:tcPr>
          <w:p w:rsidR="0004405B" w:rsidRPr="0004405B" w:rsidRDefault="0004405B" w:rsidP="00332500">
            <w:pPr>
              <w:rPr>
                <w:rFonts w:ascii="Arial" w:hAnsi="Arial" w:cs="Arial"/>
                <w:sz w:val="22"/>
                <w:szCs w:val="22"/>
              </w:rPr>
            </w:pPr>
          </w:p>
          <w:p w:rsidR="0004405B" w:rsidRPr="0004405B" w:rsidRDefault="0004405B" w:rsidP="000973C9">
            <w:pPr>
              <w:rPr>
                <w:rFonts w:ascii="Arial" w:hAnsi="Arial" w:cs="Arial"/>
                <w:sz w:val="22"/>
                <w:szCs w:val="22"/>
              </w:rPr>
            </w:pPr>
            <w:r w:rsidRPr="0004405B">
              <w:rPr>
                <w:rFonts w:ascii="Arial" w:hAnsi="Arial" w:cs="Arial"/>
                <w:sz w:val="22"/>
                <w:szCs w:val="22"/>
              </w:rPr>
              <w:t>CDP- Certificado de disponibilidad Presupuestal</w:t>
            </w:r>
          </w:p>
        </w:tc>
        <w:tc>
          <w:tcPr>
            <w:tcW w:w="7087" w:type="dxa"/>
          </w:tcPr>
          <w:p w:rsidR="0004405B" w:rsidRPr="0004405B" w:rsidRDefault="0004405B" w:rsidP="00C16C22">
            <w:pPr>
              <w:rPr>
                <w:rFonts w:ascii="Arial" w:hAnsi="Arial" w:cs="Arial"/>
                <w:sz w:val="22"/>
                <w:szCs w:val="22"/>
              </w:rPr>
            </w:pPr>
          </w:p>
          <w:p w:rsidR="0004405B" w:rsidRPr="0004405B" w:rsidRDefault="0004405B" w:rsidP="00992B99">
            <w:pPr>
              <w:rPr>
                <w:rFonts w:ascii="Arial" w:hAnsi="Arial" w:cs="Arial"/>
                <w:sz w:val="22"/>
                <w:szCs w:val="22"/>
              </w:rPr>
            </w:pPr>
            <w:r w:rsidRPr="0004405B">
              <w:rPr>
                <w:rFonts w:ascii="Arial" w:hAnsi="Arial" w:cs="Arial"/>
                <w:sz w:val="22"/>
                <w:szCs w:val="22"/>
              </w:rPr>
              <w:t xml:space="preserve">Con cargo a Recursos de la ANTV Vigencia 2014. </w:t>
            </w:r>
          </w:p>
        </w:tc>
      </w:tr>
      <w:tr w:rsidR="0004405B" w:rsidRPr="0004405B" w:rsidTr="0004405B">
        <w:tc>
          <w:tcPr>
            <w:tcW w:w="2410" w:type="dxa"/>
          </w:tcPr>
          <w:p w:rsidR="0004405B" w:rsidRPr="0004405B" w:rsidRDefault="0004405B" w:rsidP="007B1968">
            <w:pPr>
              <w:rPr>
                <w:rFonts w:ascii="Arial" w:hAnsi="Arial" w:cs="Arial"/>
                <w:sz w:val="22"/>
                <w:szCs w:val="22"/>
              </w:rPr>
            </w:pPr>
          </w:p>
          <w:p w:rsidR="0004405B" w:rsidRPr="0004405B" w:rsidRDefault="0004405B" w:rsidP="007B1968">
            <w:pPr>
              <w:rPr>
                <w:rFonts w:ascii="Arial" w:hAnsi="Arial" w:cs="Arial"/>
                <w:sz w:val="22"/>
                <w:szCs w:val="22"/>
              </w:rPr>
            </w:pPr>
            <w:r w:rsidRPr="0004405B">
              <w:rPr>
                <w:rFonts w:ascii="Arial" w:hAnsi="Arial" w:cs="Arial"/>
                <w:sz w:val="22"/>
                <w:szCs w:val="22"/>
              </w:rPr>
              <w:t>Criterios de Evaluación</w:t>
            </w:r>
          </w:p>
        </w:tc>
        <w:tc>
          <w:tcPr>
            <w:tcW w:w="7087" w:type="dxa"/>
          </w:tcPr>
          <w:p w:rsidR="0004405B" w:rsidRPr="0004405B" w:rsidRDefault="0004405B" w:rsidP="002A042C">
            <w:pPr>
              <w:pStyle w:val="Default"/>
              <w:rPr>
                <w:sz w:val="22"/>
                <w:szCs w:val="22"/>
                <w:lang w:val="es-ES"/>
              </w:rPr>
            </w:pPr>
            <w:r w:rsidRPr="0004405B">
              <w:rPr>
                <w:sz w:val="22"/>
                <w:szCs w:val="22"/>
                <w:lang w:val="es-ES"/>
              </w:rPr>
              <w:t>Cumplimiento de los requerimientos técnicos exigidos, Documentos jurídicos y oferta comercial.</w:t>
            </w:r>
          </w:p>
          <w:p w:rsidR="0004405B" w:rsidRPr="0004405B" w:rsidRDefault="0004405B" w:rsidP="002A042C">
            <w:pPr>
              <w:rPr>
                <w:rFonts w:ascii="Arial" w:hAnsi="Arial" w:cs="Arial"/>
                <w:sz w:val="22"/>
                <w:szCs w:val="22"/>
                <w:lang w:val="es-CO"/>
              </w:rPr>
            </w:pPr>
          </w:p>
        </w:tc>
      </w:tr>
      <w:tr w:rsidR="0004405B" w:rsidRPr="0004405B" w:rsidTr="0004405B">
        <w:tc>
          <w:tcPr>
            <w:tcW w:w="2410" w:type="dxa"/>
          </w:tcPr>
          <w:p w:rsidR="0004405B" w:rsidRPr="0004405B" w:rsidRDefault="0004405B" w:rsidP="007B1968">
            <w:pPr>
              <w:rPr>
                <w:rFonts w:ascii="Arial" w:hAnsi="Arial" w:cs="Arial"/>
                <w:sz w:val="22"/>
                <w:szCs w:val="22"/>
              </w:rPr>
            </w:pPr>
            <w:r w:rsidRPr="0004405B">
              <w:rPr>
                <w:rFonts w:ascii="Arial" w:hAnsi="Arial" w:cs="Arial"/>
                <w:sz w:val="22"/>
                <w:szCs w:val="22"/>
              </w:rPr>
              <w:lastRenderedPageBreak/>
              <w:t>Indicar si aplica Acuerdo Comercial</w:t>
            </w:r>
          </w:p>
        </w:tc>
        <w:tc>
          <w:tcPr>
            <w:tcW w:w="7087" w:type="dxa"/>
          </w:tcPr>
          <w:p w:rsidR="0004405B" w:rsidRPr="0004405B" w:rsidRDefault="0004405B" w:rsidP="002A042C">
            <w:pPr>
              <w:pStyle w:val="Default"/>
              <w:rPr>
                <w:sz w:val="22"/>
                <w:szCs w:val="22"/>
                <w:lang w:val="es-ES"/>
              </w:rPr>
            </w:pPr>
            <w:r w:rsidRPr="0004405B">
              <w:rPr>
                <w:sz w:val="22"/>
                <w:szCs w:val="22"/>
                <w:lang w:val="es-ES"/>
              </w:rPr>
              <w:t>N/A</w:t>
            </w:r>
          </w:p>
        </w:tc>
      </w:tr>
      <w:tr w:rsidR="0004405B" w:rsidRPr="0004405B" w:rsidTr="0004405B">
        <w:tc>
          <w:tcPr>
            <w:tcW w:w="2410" w:type="dxa"/>
          </w:tcPr>
          <w:p w:rsidR="0004405B" w:rsidRPr="0004405B" w:rsidRDefault="0004405B" w:rsidP="00332500">
            <w:pPr>
              <w:rPr>
                <w:rFonts w:ascii="Arial" w:hAnsi="Arial" w:cs="Arial"/>
                <w:sz w:val="22"/>
                <w:szCs w:val="22"/>
              </w:rPr>
            </w:pPr>
          </w:p>
          <w:p w:rsidR="0004405B" w:rsidRPr="0004405B" w:rsidRDefault="0004405B" w:rsidP="00AC4938">
            <w:pPr>
              <w:rPr>
                <w:rFonts w:ascii="Arial" w:hAnsi="Arial" w:cs="Arial"/>
                <w:sz w:val="22"/>
                <w:szCs w:val="22"/>
              </w:rPr>
            </w:pPr>
            <w:r w:rsidRPr="0004405B">
              <w:rPr>
                <w:rFonts w:ascii="Arial" w:hAnsi="Arial" w:cs="Arial"/>
                <w:sz w:val="22"/>
                <w:szCs w:val="22"/>
              </w:rPr>
              <w:t>Observaciones</w:t>
            </w:r>
          </w:p>
        </w:tc>
        <w:tc>
          <w:tcPr>
            <w:tcW w:w="7087" w:type="dxa"/>
          </w:tcPr>
          <w:p w:rsidR="0004405B" w:rsidRPr="0004405B" w:rsidRDefault="0004405B" w:rsidP="00C16C22">
            <w:pPr>
              <w:rPr>
                <w:rFonts w:ascii="Arial" w:hAnsi="Arial" w:cs="Arial"/>
                <w:sz w:val="22"/>
                <w:szCs w:val="22"/>
              </w:rPr>
            </w:pPr>
            <w:r w:rsidRPr="0004405B">
              <w:rPr>
                <w:rFonts w:ascii="Arial" w:hAnsi="Arial" w:cs="Arial"/>
                <w:sz w:val="22"/>
                <w:szCs w:val="22"/>
              </w:rPr>
              <w:t>N/A</w:t>
            </w:r>
          </w:p>
        </w:tc>
      </w:tr>
    </w:tbl>
    <w:p w:rsidR="00F76DE0" w:rsidRPr="0004405B" w:rsidRDefault="00F76DE0" w:rsidP="00C16C22">
      <w:pPr>
        <w:rPr>
          <w:rFonts w:ascii="Arial" w:hAnsi="Arial" w:cs="Arial"/>
          <w:sz w:val="22"/>
          <w:szCs w:val="22"/>
        </w:rPr>
      </w:pPr>
    </w:p>
    <w:p w:rsidR="00F53789" w:rsidRPr="0004405B" w:rsidRDefault="00F53789" w:rsidP="00C16C22">
      <w:pPr>
        <w:rPr>
          <w:rFonts w:ascii="Arial" w:hAnsi="Arial" w:cs="Arial"/>
          <w:sz w:val="22"/>
          <w:szCs w:val="22"/>
        </w:rPr>
      </w:pPr>
    </w:p>
    <w:sectPr w:rsidR="00F53789" w:rsidRPr="0004405B" w:rsidSect="00C16C22">
      <w:headerReference w:type="even" r:id="rId7"/>
      <w:headerReference w:type="default" r:id="rId8"/>
      <w:footerReference w:type="default" r:id="rId9"/>
      <w:headerReference w:type="first" r:id="rId10"/>
      <w:pgSz w:w="12242" w:h="15842" w:code="1"/>
      <w:pgMar w:top="1418" w:right="1134" w:bottom="1701" w:left="1134" w:header="567"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AB8" w:rsidRDefault="009A4AB8" w:rsidP="00E8535C">
      <w:pPr>
        <w:pStyle w:val="Encabezado"/>
      </w:pPr>
      <w:r>
        <w:separator/>
      </w:r>
    </w:p>
  </w:endnote>
  <w:endnote w:type="continuationSeparator" w:id="1">
    <w:p w:rsidR="009A4AB8" w:rsidRDefault="009A4AB8" w:rsidP="00E8535C">
      <w:pPr>
        <w:pStyle w:val="Encabezad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Geneva">
    <w:altName w:val="Arial"/>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D5" w:rsidRPr="0047679D" w:rsidRDefault="009927D5" w:rsidP="0047679D">
    <w:pPr>
      <w:pStyle w:val="Piedepgina"/>
      <w:jc w:val="right"/>
      <w:rPr>
        <w:rFonts w:ascii="Arial" w:hAnsi="Arial" w:cs="Arial"/>
        <w:sz w:val="16"/>
        <w:szCs w:val="16"/>
        <w:lang w:val="es-ES"/>
      </w:rPr>
    </w:pPr>
    <w:r>
      <w:rPr>
        <w:rFonts w:ascii="Arial" w:hAnsi="Arial" w:cs="Arial"/>
        <w:sz w:val="16"/>
        <w:szCs w:val="16"/>
        <w:lang w:val="es-ES"/>
      </w:rPr>
      <w:t>GA-241.44.14</w:t>
    </w:r>
  </w:p>
  <w:p w:rsidR="009927D5" w:rsidRPr="0047679D" w:rsidRDefault="009927D5" w:rsidP="0047679D">
    <w:pPr>
      <w:pStyle w:val="Piedepgina"/>
      <w:jc w:val="right"/>
      <w:rPr>
        <w:rFonts w:ascii="Arial" w:hAnsi="Arial" w:cs="Arial"/>
        <w:sz w:val="16"/>
        <w:szCs w:val="16"/>
        <w:lang w:val="es-ES"/>
      </w:rPr>
    </w:pPr>
    <w:r>
      <w:rPr>
        <w:rFonts w:ascii="Arial" w:hAnsi="Arial" w:cs="Arial"/>
        <w:sz w:val="16"/>
        <w:szCs w:val="16"/>
        <w:lang w:val="es-ES"/>
      </w:rPr>
      <w:t>Versión: 3</w:t>
    </w:r>
  </w:p>
  <w:p w:rsidR="009927D5" w:rsidRPr="0047679D" w:rsidRDefault="009927D5" w:rsidP="0047679D">
    <w:pPr>
      <w:pStyle w:val="Piedepgina"/>
      <w:jc w:val="right"/>
      <w:rPr>
        <w:rFonts w:ascii="Arial" w:hAnsi="Arial" w:cs="Arial"/>
        <w:sz w:val="16"/>
        <w:szCs w:val="16"/>
        <w:lang w:val="es-ES"/>
      </w:rPr>
    </w:pPr>
    <w:r>
      <w:rPr>
        <w:rFonts w:ascii="Arial" w:hAnsi="Arial" w:cs="Arial"/>
        <w:sz w:val="16"/>
        <w:szCs w:val="16"/>
        <w:lang w:val="es-ES"/>
      </w:rPr>
      <w:t>Fecha 24/08/12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AB8" w:rsidRDefault="009A4AB8" w:rsidP="00E8535C">
      <w:pPr>
        <w:pStyle w:val="Encabezado"/>
      </w:pPr>
      <w:r>
        <w:separator/>
      </w:r>
    </w:p>
  </w:footnote>
  <w:footnote w:type="continuationSeparator" w:id="1">
    <w:p w:rsidR="009A4AB8" w:rsidRDefault="009A4AB8" w:rsidP="00E8535C">
      <w:pPr>
        <w:pStyle w:val="Encabezad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D5" w:rsidRDefault="009927D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5"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12"/>
      <w:gridCol w:w="7023"/>
    </w:tblGrid>
    <w:tr w:rsidR="009927D5" w:rsidTr="001419BF">
      <w:trPr>
        <w:cantSplit/>
        <w:trHeight w:val="340"/>
        <w:jc w:val="center"/>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9927D5" w:rsidRDefault="00F32E94">
          <w:pPr>
            <w:pStyle w:val="Encabezado"/>
            <w:jc w:val="center"/>
            <w:rPr>
              <w:rFonts w:ascii="Arial" w:hAnsi="Arial" w:cs="Arial"/>
            </w:rPr>
          </w:pPr>
          <w:r>
            <w:rPr>
              <w:noProof/>
              <w:lang w:val="es-ES" w:eastAsia="es-ES"/>
            </w:rPr>
            <w:drawing>
              <wp:inline distT="0" distB="0" distL="0" distR="0">
                <wp:extent cx="1238250" cy="581025"/>
                <wp:effectExtent l="19050" t="0" r="0" b="0"/>
                <wp:docPr id="1"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238250" cy="581025"/>
                        </a:xfrm>
                        <a:prstGeom prst="rect">
                          <a:avLst/>
                        </a:prstGeom>
                        <a:noFill/>
                        <a:ln w="9525">
                          <a:noFill/>
                          <a:miter lim="800000"/>
                          <a:headEnd/>
                          <a:tailEnd/>
                        </a:ln>
                      </pic:spPr>
                    </pic:pic>
                  </a:graphicData>
                </a:graphic>
              </wp:inline>
            </w:drawing>
          </w:r>
        </w:p>
      </w:tc>
      <w:tc>
        <w:tcPr>
          <w:tcW w:w="7020" w:type="dxa"/>
          <w:vMerge w:val="restart"/>
          <w:tcBorders>
            <w:top w:val="single" w:sz="4" w:space="0" w:color="auto"/>
            <w:left w:val="single" w:sz="4" w:space="0" w:color="auto"/>
            <w:bottom w:val="single" w:sz="4" w:space="0" w:color="auto"/>
            <w:right w:val="single" w:sz="4" w:space="0" w:color="auto"/>
          </w:tcBorders>
          <w:vAlign w:val="center"/>
        </w:tcPr>
        <w:p w:rsidR="009927D5" w:rsidRDefault="009927D5">
          <w:pPr>
            <w:jc w:val="center"/>
            <w:rPr>
              <w:rFonts w:ascii="Arial" w:hAnsi="Arial" w:cs="Arial"/>
              <w:color w:val="000000"/>
            </w:rPr>
          </w:pPr>
        </w:p>
        <w:p w:rsidR="009927D5" w:rsidRDefault="009927D5">
          <w:pPr>
            <w:jc w:val="center"/>
            <w:rPr>
              <w:rFonts w:ascii="Arial" w:hAnsi="Arial" w:cs="Arial"/>
              <w:b/>
              <w:color w:val="000000"/>
            </w:rPr>
          </w:pPr>
        </w:p>
        <w:p w:rsidR="009927D5" w:rsidRDefault="009927D5">
          <w:pPr>
            <w:jc w:val="center"/>
            <w:rPr>
              <w:rFonts w:ascii="Arial" w:hAnsi="Arial" w:cs="Arial"/>
              <w:b/>
              <w:color w:val="000000"/>
            </w:rPr>
          </w:pPr>
          <w:r>
            <w:rPr>
              <w:rFonts w:ascii="Arial" w:hAnsi="Arial" w:cs="Arial"/>
              <w:b/>
              <w:color w:val="000000"/>
            </w:rPr>
            <w:t xml:space="preserve">ESTUDIOS PREVIOS </w:t>
          </w:r>
        </w:p>
        <w:p w:rsidR="009927D5" w:rsidRDefault="009927D5" w:rsidP="001419BF">
          <w:pPr>
            <w:jc w:val="center"/>
            <w:rPr>
              <w:rFonts w:ascii="Arial" w:hAnsi="Arial" w:cs="Arial"/>
              <w:b/>
              <w:bCs/>
            </w:rPr>
          </w:pPr>
        </w:p>
      </w:tc>
    </w:tr>
    <w:tr w:rsidR="009927D5" w:rsidTr="001419BF">
      <w:trPr>
        <w:cantSplit/>
        <w:trHeight w:val="340"/>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927D5" w:rsidRDefault="009927D5">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9927D5" w:rsidRDefault="009927D5">
          <w:pPr>
            <w:rPr>
              <w:rFonts w:ascii="Arial" w:hAnsi="Arial" w:cs="Arial"/>
              <w:b/>
              <w:bCs/>
            </w:rPr>
          </w:pPr>
        </w:p>
      </w:tc>
    </w:tr>
    <w:tr w:rsidR="009927D5" w:rsidTr="001419BF">
      <w:trPr>
        <w:cantSplit/>
        <w:trHeight w:val="429"/>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927D5" w:rsidRDefault="009927D5">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9927D5" w:rsidRDefault="009927D5">
          <w:pPr>
            <w:rPr>
              <w:rFonts w:ascii="Arial" w:hAnsi="Arial" w:cs="Arial"/>
              <w:b/>
              <w:bCs/>
            </w:rPr>
          </w:pPr>
        </w:p>
      </w:tc>
    </w:tr>
  </w:tbl>
  <w:p w:rsidR="009927D5" w:rsidRPr="002E47EB" w:rsidRDefault="009927D5" w:rsidP="00C16C22">
    <w:pPr>
      <w:pStyle w:val="Encabezado"/>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D5" w:rsidRDefault="009927D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F53"/>
    <w:multiLevelType w:val="hybridMultilevel"/>
    <w:tmpl w:val="484CDC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FC05B9"/>
    <w:multiLevelType w:val="hybridMultilevel"/>
    <w:tmpl w:val="617A1EF4"/>
    <w:lvl w:ilvl="0" w:tplc="0C0A000F">
      <w:start w:val="1"/>
      <w:numFmt w:val="decimal"/>
      <w:lvlText w:val="%1."/>
      <w:lvlJc w:val="left"/>
      <w:pPr>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1872D3A"/>
    <w:multiLevelType w:val="hybridMultilevel"/>
    <w:tmpl w:val="A25C46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1BB5E6A"/>
    <w:multiLevelType w:val="hybridMultilevel"/>
    <w:tmpl w:val="A9BAF60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nsid w:val="16347405"/>
    <w:multiLevelType w:val="hybridMultilevel"/>
    <w:tmpl w:val="121AD208"/>
    <w:lvl w:ilvl="0" w:tplc="AA004D20">
      <w:start w:val="1"/>
      <w:numFmt w:val="upperLetter"/>
      <w:lvlText w:val="%1."/>
      <w:lvlJc w:val="left"/>
      <w:pPr>
        <w:ind w:left="765" w:hanging="405"/>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5">
    <w:nsid w:val="175A199F"/>
    <w:multiLevelType w:val="hybridMultilevel"/>
    <w:tmpl w:val="41B2A25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1DA5093A"/>
    <w:multiLevelType w:val="hybridMultilevel"/>
    <w:tmpl w:val="4F9A256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23F82B7F"/>
    <w:multiLevelType w:val="hybridMultilevel"/>
    <w:tmpl w:val="B12421F8"/>
    <w:lvl w:ilvl="0" w:tplc="77300966">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6BD5659"/>
    <w:multiLevelType w:val="hybridMultilevel"/>
    <w:tmpl w:val="1BC22F58"/>
    <w:lvl w:ilvl="0" w:tplc="787C9762">
      <w:numFmt w:val="bullet"/>
      <w:lvlText w:val=""/>
      <w:lvlJc w:val="left"/>
      <w:pPr>
        <w:ind w:left="1890" w:hanging="360"/>
      </w:pPr>
      <w:rPr>
        <w:rFonts w:ascii="Symbol" w:eastAsia="Calibri"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2A4F575E"/>
    <w:multiLevelType w:val="hybridMultilevel"/>
    <w:tmpl w:val="DE66AE4E"/>
    <w:lvl w:ilvl="0" w:tplc="0C0A0001">
      <w:start w:val="1"/>
      <w:numFmt w:val="bullet"/>
      <w:lvlText w:val=""/>
      <w:lvlJc w:val="left"/>
      <w:pPr>
        <w:ind w:left="72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2FBE57B5"/>
    <w:multiLevelType w:val="hybridMultilevel"/>
    <w:tmpl w:val="573C278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310D0064"/>
    <w:multiLevelType w:val="hybridMultilevel"/>
    <w:tmpl w:val="3528CC9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3AD279C"/>
    <w:multiLevelType w:val="hybridMultilevel"/>
    <w:tmpl w:val="67AA6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8C76AC6"/>
    <w:multiLevelType w:val="hybridMultilevel"/>
    <w:tmpl w:val="EEC48AE0"/>
    <w:lvl w:ilvl="0" w:tplc="0C0A0001">
      <w:start w:val="1"/>
      <w:numFmt w:val="bullet"/>
      <w:lvlText w:val=""/>
      <w:lvlJc w:val="left"/>
      <w:pPr>
        <w:ind w:left="72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409B460A"/>
    <w:multiLevelType w:val="hybridMultilevel"/>
    <w:tmpl w:val="7B225DB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45CB30F5"/>
    <w:multiLevelType w:val="hybridMultilevel"/>
    <w:tmpl w:val="DAE4FE4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496C0833"/>
    <w:multiLevelType w:val="hybridMultilevel"/>
    <w:tmpl w:val="5A784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A513FAA"/>
    <w:multiLevelType w:val="hybridMultilevel"/>
    <w:tmpl w:val="B704CC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86F6B7E"/>
    <w:multiLevelType w:val="hybridMultilevel"/>
    <w:tmpl w:val="13087F6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5BB57467"/>
    <w:multiLevelType w:val="hybridMultilevel"/>
    <w:tmpl w:val="8020D4BC"/>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0">
    <w:nsid w:val="5EBA62FD"/>
    <w:multiLevelType w:val="hybridMultilevel"/>
    <w:tmpl w:val="83363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B55963"/>
    <w:multiLevelType w:val="hybridMultilevel"/>
    <w:tmpl w:val="E904E7D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7B16DE"/>
    <w:multiLevelType w:val="hybridMultilevel"/>
    <w:tmpl w:val="E28A8C66"/>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3">
    <w:nsid w:val="6CDD1E52"/>
    <w:multiLevelType w:val="hybridMultilevel"/>
    <w:tmpl w:val="D2CC5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4815AF"/>
    <w:multiLevelType w:val="hybridMultilevel"/>
    <w:tmpl w:val="8200A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EE20974"/>
    <w:multiLevelType w:val="hybridMultilevel"/>
    <w:tmpl w:val="11D8FA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3"/>
  </w:num>
  <w:num w:numId="4">
    <w:abstractNumId w:val="2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num>
  <w:num w:numId="21">
    <w:abstractNumId w:val="5"/>
  </w:num>
  <w:num w:numId="22">
    <w:abstractNumId w:val="1"/>
  </w:num>
  <w:num w:numId="23">
    <w:abstractNumId w:val="2"/>
  </w:num>
  <w:num w:numId="24">
    <w:abstractNumId w:val="21"/>
  </w:num>
  <w:num w:numId="25">
    <w:abstractNumId w:val="7"/>
  </w:num>
  <w:num w:numId="26">
    <w:abstractNumId w:val="16"/>
  </w:num>
  <w:num w:numId="27">
    <w:abstractNumId w:val="17"/>
  </w:num>
  <w:num w:numId="28">
    <w:abstractNumId w:val="1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8835DB"/>
    <w:rsid w:val="000036C1"/>
    <w:rsid w:val="00030538"/>
    <w:rsid w:val="00035C45"/>
    <w:rsid w:val="000377A8"/>
    <w:rsid w:val="0004405B"/>
    <w:rsid w:val="00045430"/>
    <w:rsid w:val="00050974"/>
    <w:rsid w:val="00070A06"/>
    <w:rsid w:val="00080870"/>
    <w:rsid w:val="000973C9"/>
    <w:rsid w:val="000A33DE"/>
    <w:rsid w:val="000B1F5D"/>
    <w:rsid w:val="000C35D1"/>
    <w:rsid w:val="000D0E92"/>
    <w:rsid w:val="000D565D"/>
    <w:rsid w:val="000E0D52"/>
    <w:rsid w:val="000E7AFB"/>
    <w:rsid w:val="000F7F94"/>
    <w:rsid w:val="00103525"/>
    <w:rsid w:val="00105963"/>
    <w:rsid w:val="00117AE0"/>
    <w:rsid w:val="00117EAA"/>
    <w:rsid w:val="00121942"/>
    <w:rsid w:val="00136121"/>
    <w:rsid w:val="001419BF"/>
    <w:rsid w:val="00145CC0"/>
    <w:rsid w:val="00153592"/>
    <w:rsid w:val="00166B98"/>
    <w:rsid w:val="00185C8B"/>
    <w:rsid w:val="001975C2"/>
    <w:rsid w:val="001A44AE"/>
    <w:rsid w:val="001C2914"/>
    <w:rsid w:val="001D5A9D"/>
    <w:rsid w:val="001F2DC3"/>
    <w:rsid w:val="002243EC"/>
    <w:rsid w:val="002363E9"/>
    <w:rsid w:val="00257018"/>
    <w:rsid w:val="0027025F"/>
    <w:rsid w:val="002740F2"/>
    <w:rsid w:val="00274A31"/>
    <w:rsid w:val="00283D1C"/>
    <w:rsid w:val="0029370F"/>
    <w:rsid w:val="00293E65"/>
    <w:rsid w:val="002A092A"/>
    <w:rsid w:val="002B71DB"/>
    <w:rsid w:val="002C3A9E"/>
    <w:rsid w:val="002C44AA"/>
    <w:rsid w:val="002C7260"/>
    <w:rsid w:val="002D2131"/>
    <w:rsid w:val="002E1742"/>
    <w:rsid w:val="002E47EB"/>
    <w:rsid w:val="002E6896"/>
    <w:rsid w:val="002F09A8"/>
    <w:rsid w:val="002F09D0"/>
    <w:rsid w:val="002F1199"/>
    <w:rsid w:val="00304BD7"/>
    <w:rsid w:val="003058AF"/>
    <w:rsid w:val="00320D47"/>
    <w:rsid w:val="00322489"/>
    <w:rsid w:val="00332500"/>
    <w:rsid w:val="003373B6"/>
    <w:rsid w:val="0034253A"/>
    <w:rsid w:val="00344161"/>
    <w:rsid w:val="00344294"/>
    <w:rsid w:val="003652B3"/>
    <w:rsid w:val="0036577D"/>
    <w:rsid w:val="003665EC"/>
    <w:rsid w:val="00373452"/>
    <w:rsid w:val="0037675E"/>
    <w:rsid w:val="003774D8"/>
    <w:rsid w:val="00382178"/>
    <w:rsid w:val="00382743"/>
    <w:rsid w:val="003B4089"/>
    <w:rsid w:val="003C3DFE"/>
    <w:rsid w:val="003C5A3E"/>
    <w:rsid w:val="003D7C90"/>
    <w:rsid w:val="003E1453"/>
    <w:rsid w:val="003F54CB"/>
    <w:rsid w:val="00400FAD"/>
    <w:rsid w:val="00420807"/>
    <w:rsid w:val="0042419F"/>
    <w:rsid w:val="00437877"/>
    <w:rsid w:val="0046109A"/>
    <w:rsid w:val="00461EA4"/>
    <w:rsid w:val="00463A6C"/>
    <w:rsid w:val="00465D57"/>
    <w:rsid w:val="0047679D"/>
    <w:rsid w:val="00487E6B"/>
    <w:rsid w:val="004A1D79"/>
    <w:rsid w:val="004B019E"/>
    <w:rsid w:val="004C59EF"/>
    <w:rsid w:val="004D34F2"/>
    <w:rsid w:val="004D6059"/>
    <w:rsid w:val="004D643F"/>
    <w:rsid w:val="004E010D"/>
    <w:rsid w:val="004E3870"/>
    <w:rsid w:val="004F1B78"/>
    <w:rsid w:val="005028FB"/>
    <w:rsid w:val="00502A8B"/>
    <w:rsid w:val="0051291D"/>
    <w:rsid w:val="005332A7"/>
    <w:rsid w:val="005348FD"/>
    <w:rsid w:val="0053602B"/>
    <w:rsid w:val="005601C6"/>
    <w:rsid w:val="005779E3"/>
    <w:rsid w:val="00581784"/>
    <w:rsid w:val="005921C1"/>
    <w:rsid w:val="005A280B"/>
    <w:rsid w:val="005B6099"/>
    <w:rsid w:val="005C2CB2"/>
    <w:rsid w:val="005D4D31"/>
    <w:rsid w:val="005E41FF"/>
    <w:rsid w:val="005E6112"/>
    <w:rsid w:val="005F05D7"/>
    <w:rsid w:val="00607E10"/>
    <w:rsid w:val="00617078"/>
    <w:rsid w:val="00620152"/>
    <w:rsid w:val="00620D23"/>
    <w:rsid w:val="006229C0"/>
    <w:rsid w:val="00622D9A"/>
    <w:rsid w:val="00623395"/>
    <w:rsid w:val="006362C2"/>
    <w:rsid w:val="0064554A"/>
    <w:rsid w:val="006630FF"/>
    <w:rsid w:val="00670239"/>
    <w:rsid w:val="00671C53"/>
    <w:rsid w:val="00685EBA"/>
    <w:rsid w:val="006A15C4"/>
    <w:rsid w:val="006A4400"/>
    <w:rsid w:val="006A6B45"/>
    <w:rsid w:val="006B04D6"/>
    <w:rsid w:val="006B66B3"/>
    <w:rsid w:val="006B792A"/>
    <w:rsid w:val="006D0B8B"/>
    <w:rsid w:val="006E31BD"/>
    <w:rsid w:val="006E347F"/>
    <w:rsid w:val="006E4A36"/>
    <w:rsid w:val="006F01DA"/>
    <w:rsid w:val="006F15D0"/>
    <w:rsid w:val="006F49E3"/>
    <w:rsid w:val="0070250A"/>
    <w:rsid w:val="007231B9"/>
    <w:rsid w:val="00724BF0"/>
    <w:rsid w:val="00733579"/>
    <w:rsid w:val="00735760"/>
    <w:rsid w:val="00736B0F"/>
    <w:rsid w:val="007448A8"/>
    <w:rsid w:val="007478E7"/>
    <w:rsid w:val="00750457"/>
    <w:rsid w:val="00751D00"/>
    <w:rsid w:val="00753260"/>
    <w:rsid w:val="00755DB1"/>
    <w:rsid w:val="007707A3"/>
    <w:rsid w:val="00775C21"/>
    <w:rsid w:val="007764F6"/>
    <w:rsid w:val="007867B2"/>
    <w:rsid w:val="00787AD0"/>
    <w:rsid w:val="007964BE"/>
    <w:rsid w:val="00797BC9"/>
    <w:rsid w:val="007A0162"/>
    <w:rsid w:val="007A6389"/>
    <w:rsid w:val="007B1968"/>
    <w:rsid w:val="007B4914"/>
    <w:rsid w:val="007B54E4"/>
    <w:rsid w:val="007B6AB6"/>
    <w:rsid w:val="007C6FD8"/>
    <w:rsid w:val="007D2FB8"/>
    <w:rsid w:val="007F5C1F"/>
    <w:rsid w:val="00804100"/>
    <w:rsid w:val="008068E9"/>
    <w:rsid w:val="00821732"/>
    <w:rsid w:val="008331E1"/>
    <w:rsid w:val="008357B9"/>
    <w:rsid w:val="0084550D"/>
    <w:rsid w:val="00853979"/>
    <w:rsid w:val="00853FA5"/>
    <w:rsid w:val="0085729D"/>
    <w:rsid w:val="0086350B"/>
    <w:rsid w:val="00870A9C"/>
    <w:rsid w:val="00880807"/>
    <w:rsid w:val="008835DB"/>
    <w:rsid w:val="008908EB"/>
    <w:rsid w:val="008B2206"/>
    <w:rsid w:val="008C6C2E"/>
    <w:rsid w:val="008D16B0"/>
    <w:rsid w:val="008E0F35"/>
    <w:rsid w:val="008F11C1"/>
    <w:rsid w:val="00903CDD"/>
    <w:rsid w:val="00906293"/>
    <w:rsid w:val="00915179"/>
    <w:rsid w:val="0091551E"/>
    <w:rsid w:val="009156D9"/>
    <w:rsid w:val="00936DB7"/>
    <w:rsid w:val="0094081B"/>
    <w:rsid w:val="00941FAA"/>
    <w:rsid w:val="00945220"/>
    <w:rsid w:val="00953882"/>
    <w:rsid w:val="00955245"/>
    <w:rsid w:val="00955E35"/>
    <w:rsid w:val="00966D18"/>
    <w:rsid w:val="00974CAC"/>
    <w:rsid w:val="00977039"/>
    <w:rsid w:val="009927D5"/>
    <w:rsid w:val="00992B99"/>
    <w:rsid w:val="009978CD"/>
    <w:rsid w:val="009A36EF"/>
    <w:rsid w:val="009A4AB8"/>
    <w:rsid w:val="009A5367"/>
    <w:rsid w:val="009B5A41"/>
    <w:rsid w:val="009C23AC"/>
    <w:rsid w:val="009C5D59"/>
    <w:rsid w:val="009C79AB"/>
    <w:rsid w:val="009D00D8"/>
    <w:rsid w:val="009D016F"/>
    <w:rsid w:val="009D2EA0"/>
    <w:rsid w:val="009E2A7A"/>
    <w:rsid w:val="00A014A1"/>
    <w:rsid w:val="00A16854"/>
    <w:rsid w:val="00A207B9"/>
    <w:rsid w:val="00A230F9"/>
    <w:rsid w:val="00A335C2"/>
    <w:rsid w:val="00A34B48"/>
    <w:rsid w:val="00A60C7B"/>
    <w:rsid w:val="00A60CB9"/>
    <w:rsid w:val="00A613B8"/>
    <w:rsid w:val="00A61D60"/>
    <w:rsid w:val="00A86872"/>
    <w:rsid w:val="00A92D25"/>
    <w:rsid w:val="00A94E27"/>
    <w:rsid w:val="00AA7F37"/>
    <w:rsid w:val="00AC4938"/>
    <w:rsid w:val="00AE34BB"/>
    <w:rsid w:val="00AE5979"/>
    <w:rsid w:val="00AF161A"/>
    <w:rsid w:val="00B0590A"/>
    <w:rsid w:val="00B0608B"/>
    <w:rsid w:val="00B10126"/>
    <w:rsid w:val="00B21BA1"/>
    <w:rsid w:val="00B32AA5"/>
    <w:rsid w:val="00B54E47"/>
    <w:rsid w:val="00B64241"/>
    <w:rsid w:val="00B817C5"/>
    <w:rsid w:val="00B81F8B"/>
    <w:rsid w:val="00BB15E3"/>
    <w:rsid w:val="00BC107E"/>
    <w:rsid w:val="00BE080A"/>
    <w:rsid w:val="00BF520B"/>
    <w:rsid w:val="00BF6FBB"/>
    <w:rsid w:val="00BF7191"/>
    <w:rsid w:val="00C009FF"/>
    <w:rsid w:val="00C0230C"/>
    <w:rsid w:val="00C16C22"/>
    <w:rsid w:val="00C242E3"/>
    <w:rsid w:val="00C2516D"/>
    <w:rsid w:val="00C54F36"/>
    <w:rsid w:val="00C9371B"/>
    <w:rsid w:val="00C966CE"/>
    <w:rsid w:val="00CA176E"/>
    <w:rsid w:val="00CA32BF"/>
    <w:rsid w:val="00CC1C1D"/>
    <w:rsid w:val="00CC2EA4"/>
    <w:rsid w:val="00CD05DF"/>
    <w:rsid w:val="00CD237E"/>
    <w:rsid w:val="00CD3417"/>
    <w:rsid w:val="00CF3075"/>
    <w:rsid w:val="00D00C9F"/>
    <w:rsid w:val="00D05FDF"/>
    <w:rsid w:val="00D060E4"/>
    <w:rsid w:val="00D067F2"/>
    <w:rsid w:val="00D12881"/>
    <w:rsid w:val="00D1343B"/>
    <w:rsid w:val="00D13456"/>
    <w:rsid w:val="00D138FA"/>
    <w:rsid w:val="00D14615"/>
    <w:rsid w:val="00D23FFB"/>
    <w:rsid w:val="00D24EB8"/>
    <w:rsid w:val="00D3193C"/>
    <w:rsid w:val="00D33177"/>
    <w:rsid w:val="00D339B4"/>
    <w:rsid w:val="00D36A59"/>
    <w:rsid w:val="00D41748"/>
    <w:rsid w:val="00D557EC"/>
    <w:rsid w:val="00D7613A"/>
    <w:rsid w:val="00D810D1"/>
    <w:rsid w:val="00D823CD"/>
    <w:rsid w:val="00D82762"/>
    <w:rsid w:val="00D85179"/>
    <w:rsid w:val="00D85BBC"/>
    <w:rsid w:val="00DA2B06"/>
    <w:rsid w:val="00DB596C"/>
    <w:rsid w:val="00DC4E0E"/>
    <w:rsid w:val="00DC7BE9"/>
    <w:rsid w:val="00DD07EA"/>
    <w:rsid w:val="00DD3BCD"/>
    <w:rsid w:val="00DD4974"/>
    <w:rsid w:val="00DE30A6"/>
    <w:rsid w:val="00DE556A"/>
    <w:rsid w:val="00DF0099"/>
    <w:rsid w:val="00DF4651"/>
    <w:rsid w:val="00DF7B00"/>
    <w:rsid w:val="00E02D64"/>
    <w:rsid w:val="00E073E8"/>
    <w:rsid w:val="00E20B2F"/>
    <w:rsid w:val="00E21522"/>
    <w:rsid w:val="00E235C7"/>
    <w:rsid w:val="00E23E48"/>
    <w:rsid w:val="00E3212E"/>
    <w:rsid w:val="00E661BC"/>
    <w:rsid w:val="00E671BF"/>
    <w:rsid w:val="00E74B87"/>
    <w:rsid w:val="00E7766E"/>
    <w:rsid w:val="00E776E9"/>
    <w:rsid w:val="00E8190D"/>
    <w:rsid w:val="00E8535C"/>
    <w:rsid w:val="00E974E5"/>
    <w:rsid w:val="00E97A25"/>
    <w:rsid w:val="00EB15E2"/>
    <w:rsid w:val="00EB2860"/>
    <w:rsid w:val="00EC16C4"/>
    <w:rsid w:val="00EC7381"/>
    <w:rsid w:val="00ED0F8D"/>
    <w:rsid w:val="00ED5093"/>
    <w:rsid w:val="00EE175F"/>
    <w:rsid w:val="00EF12FF"/>
    <w:rsid w:val="00EF6AB1"/>
    <w:rsid w:val="00F16414"/>
    <w:rsid w:val="00F17E52"/>
    <w:rsid w:val="00F22949"/>
    <w:rsid w:val="00F32E94"/>
    <w:rsid w:val="00F3434A"/>
    <w:rsid w:val="00F34AE2"/>
    <w:rsid w:val="00F458FD"/>
    <w:rsid w:val="00F53789"/>
    <w:rsid w:val="00F76DE0"/>
    <w:rsid w:val="00F92D86"/>
    <w:rsid w:val="00FB22FA"/>
    <w:rsid w:val="00FB2533"/>
    <w:rsid w:val="00FB538F"/>
    <w:rsid w:val="00FC7580"/>
    <w:rsid w:val="00FD1727"/>
    <w:rsid w:val="00FD3D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5DB"/>
    <w:rPr>
      <w:sz w:val="24"/>
      <w:szCs w:val="24"/>
      <w:lang w:val="es-ES_tradnl" w:eastAsia="es-ES_tradnl"/>
    </w:rPr>
  </w:style>
  <w:style w:type="paragraph" w:styleId="Ttulo1">
    <w:name w:val="heading 1"/>
    <w:basedOn w:val="Normal"/>
    <w:next w:val="Normal"/>
    <w:link w:val="Ttulo1Car"/>
    <w:qFormat/>
    <w:rsid w:val="000377A8"/>
    <w:pPr>
      <w:keepNext/>
      <w:spacing w:before="240" w:after="60"/>
      <w:outlineLvl w:val="0"/>
    </w:pPr>
    <w:rPr>
      <w:rFonts w:ascii="Cambria" w:hAnsi="Cambria"/>
      <w:b/>
      <w:bCs/>
      <w:kern w:val="32"/>
      <w:sz w:val="32"/>
      <w:szCs w:val="32"/>
      <w:lang w:val="es-ES" w:eastAsia="es-ES"/>
    </w:rPr>
  </w:style>
  <w:style w:type="paragraph" w:styleId="Ttulo2">
    <w:name w:val="heading 2"/>
    <w:basedOn w:val="Normal"/>
    <w:next w:val="Normal"/>
    <w:link w:val="Ttulo2Car"/>
    <w:semiHidden/>
    <w:unhideWhenUsed/>
    <w:qFormat/>
    <w:rsid w:val="000377A8"/>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0377A8"/>
    <w:pPr>
      <w:keepNext/>
      <w:jc w:val="center"/>
      <w:outlineLvl w:val="2"/>
    </w:pPr>
    <w:rPr>
      <w:rFonts w:ascii="Arial" w:hAnsi="Arial" w:cs="Arial"/>
      <w:b/>
      <w:b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77A8"/>
    <w:rPr>
      <w:rFonts w:ascii="Cambria" w:hAnsi="Cambria"/>
      <w:b/>
      <w:bCs/>
      <w:kern w:val="32"/>
      <w:sz w:val="32"/>
      <w:szCs w:val="32"/>
    </w:rPr>
  </w:style>
  <w:style w:type="character" w:customStyle="1" w:styleId="Ttulo2Car">
    <w:name w:val="Título 2 Car"/>
    <w:basedOn w:val="Fuentedeprrafopredeter"/>
    <w:link w:val="Ttulo2"/>
    <w:semiHidden/>
    <w:rsid w:val="000377A8"/>
    <w:rPr>
      <w:rFonts w:ascii="Cambria" w:hAnsi="Cambria"/>
      <w:b/>
      <w:bCs/>
      <w:i/>
      <w:iCs/>
      <w:sz w:val="28"/>
      <w:szCs w:val="28"/>
      <w:lang w:val="es-ES_tradnl" w:eastAsia="es-ES_tradnl"/>
    </w:rPr>
  </w:style>
  <w:style w:type="character" w:customStyle="1" w:styleId="Ttulo3Car">
    <w:name w:val="Título 3 Car"/>
    <w:basedOn w:val="Fuentedeprrafopredeter"/>
    <w:link w:val="Ttulo3"/>
    <w:semiHidden/>
    <w:rsid w:val="000377A8"/>
    <w:rPr>
      <w:rFonts w:ascii="Arial" w:hAnsi="Arial" w:cs="Arial"/>
      <w:b/>
      <w:bCs/>
      <w:szCs w:val="24"/>
    </w:rPr>
  </w:style>
  <w:style w:type="paragraph" w:styleId="Encabezado">
    <w:name w:val="header"/>
    <w:basedOn w:val="Normal"/>
    <w:link w:val="EncabezadoCar"/>
    <w:rsid w:val="008835DB"/>
    <w:pPr>
      <w:tabs>
        <w:tab w:val="center" w:pos="4252"/>
        <w:tab w:val="right" w:pos="8504"/>
      </w:tabs>
    </w:pPr>
  </w:style>
  <w:style w:type="character" w:customStyle="1" w:styleId="EncabezadoCar">
    <w:name w:val="Encabezado Car"/>
    <w:basedOn w:val="Fuentedeprrafopredeter"/>
    <w:link w:val="Encabezado"/>
    <w:rsid w:val="001419BF"/>
    <w:rPr>
      <w:sz w:val="24"/>
      <w:szCs w:val="24"/>
      <w:lang w:val="es-ES_tradnl" w:eastAsia="es-ES_tradnl"/>
    </w:rPr>
  </w:style>
  <w:style w:type="paragraph" w:styleId="Piedepgina">
    <w:name w:val="footer"/>
    <w:basedOn w:val="Normal"/>
    <w:link w:val="PiedepginaCar"/>
    <w:rsid w:val="008835DB"/>
    <w:pPr>
      <w:tabs>
        <w:tab w:val="center" w:pos="4252"/>
        <w:tab w:val="right" w:pos="8504"/>
      </w:tabs>
    </w:pPr>
  </w:style>
  <w:style w:type="character" w:customStyle="1" w:styleId="PiedepginaCar">
    <w:name w:val="Pie de página Car"/>
    <w:basedOn w:val="Fuentedeprrafopredeter"/>
    <w:link w:val="Piedepgina"/>
    <w:rsid w:val="000377A8"/>
    <w:rPr>
      <w:sz w:val="24"/>
      <w:szCs w:val="24"/>
      <w:lang w:val="es-ES_tradnl" w:eastAsia="es-ES_tradnl"/>
    </w:rPr>
  </w:style>
  <w:style w:type="character" w:styleId="Hipervnculo">
    <w:name w:val="Hyperlink"/>
    <w:basedOn w:val="Fuentedeprrafopredeter"/>
    <w:rsid w:val="008835DB"/>
    <w:rPr>
      <w:color w:val="0000FF"/>
      <w:u w:val="single"/>
    </w:rPr>
  </w:style>
  <w:style w:type="paragraph" w:styleId="Sinespaciado">
    <w:name w:val="No Spacing"/>
    <w:link w:val="SinespaciadoCar"/>
    <w:uiPriority w:val="99"/>
    <w:qFormat/>
    <w:rsid w:val="00FD1727"/>
    <w:rPr>
      <w:rFonts w:ascii="Calibri" w:eastAsia="Calibri" w:hAnsi="Calibri"/>
      <w:sz w:val="22"/>
      <w:szCs w:val="22"/>
      <w:lang w:eastAsia="en-US"/>
    </w:rPr>
  </w:style>
  <w:style w:type="character" w:customStyle="1" w:styleId="SinespaciadoCar">
    <w:name w:val="Sin espaciado Car"/>
    <w:basedOn w:val="Fuentedeprrafopredeter"/>
    <w:link w:val="Sinespaciado"/>
    <w:uiPriority w:val="99"/>
    <w:locked/>
    <w:rsid w:val="000377A8"/>
    <w:rPr>
      <w:rFonts w:ascii="Calibri" w:eastAsia="Calibri" w:hAnsi="Calibri"/>
      <w:sz w:val="22"/>
      <w:szCs w:val="22"/>
      <w:lang w:val="es-ES" w:eastAsia="en-US" w:bidi="ar-SA"/>
    </w:rPr>
  </w:style>
  <w:style w:type="paragraph" w:customStyle="1" w:styleId="Textosinformato1">
    <w:name w:val="Texto sin formato1"/>
    <w:basedOn w:val="Normal"/>
    <w:rsid w:val="007478E7"/>
    <w:pPr>
      <w:suppressAutoHyphens/>
    </w:pPr>
    <w:rPr>
      <w:rFonts w:ascii="Courier New" w:hAnsi="Courier New"/>
      <w:sz w:val="20"/>
      <w:szCs w:val="20"/>
      <w:lang w:val="es-CO" w:eastAsia="ar-SA"/>
    </w:rPr>
  </w:style>
  <w:style w:type="character" w:styleId="Hipervnculovisitado">
    <w:name w:val="FollowedHyperlink"/>
    <w:basedOn w:val="Fuentedeprrafopredeter"/>
    <w:uiPriority w:val="99"/>
    <w:unhideWhenUsed/>
    <w:rsid w:val="000377A8"/>
    <w:rPr>
      <w:color w:val="800080"/>
      <w:u w:val="single"/>
    </w:rPr>
  </w:style>
  <w:style w:type="paragraph" w:styleId="Textoindependiente">
    <w:name w:val="Body Text"/>
    <w:basedOn w:val="Normal"/>
    <w:link w:val="TextoindependienteCar"/>
    <w:unhideWhenUsed/>
    <w:rsid w:val="000377A8"/>
    <w:pPr>
      <w:spacing w:after="120"/>
    </w:pPr>
    <w:rPr>
      <w:rFonts w:ascii="Arial" w:hAnsi="Arial"/>
    </w:rPr>
  </w:style>
  <w:style w:type="character" w:customStyle="1" w:styleId="TextoindependienteCar">
    <w:name w:val="Texto independiente Car"/>
    <w:basedOn w:val="Fuentedeprrafopredeter"/>
    <w:link w:val="Textoindependiente"/>
    <w:rsid w:val="000377A8"/>
    <w:rPr>
      <w:rFonts w:ascii="Arial" w:hAnsi="Arial"/>
      <w:sz w:val="24"/>
      <w:szCs w:val="24"/>
      <w:lang w:val="es-ES_tradnl" w:eastAsia="es-ES_tradnl"/>
    </w:rPr>
  </w:style>
  <w:style w:type="paragraph" w:styleId="Textoindependiente2">
    <w:name w:val="Body Text 2"/>
    <w:basedOn w:val="Normal"/>
    <w:link w:val="Textoindependiente2Car"/>
    <w:unhideWhenUsed/>
    <w:rsid w:val="000377A8"/>
    <w:pPr>
      <w:jc w:val="both"/>
    </w:pPr>
    <w:rPr>
      <w:rFonts w:ascii="Arial" w:hAnsi="Arial"/>
      <w:sz w:val="28"/>
      <w:szCs w:val="20"/>
      <w:lang w:val="es-ES" w:eastAsia="es-ES"/>
    </w:rPr>
  </w:style>
  <w:style w:type="character" w:customStyle="1" w:styleId="Textoindependiente2Car">
    <w:name w:val="Texto independiente 2 Car"/>
    <w:basedOn w:val="Fuentedeprrafopredeter"/>
    <w:link w:val="Textoindependiente2"/>
    <w:rsid w:val="000377A8"/>
    <w:rPr>
      <w:rFonts w:ascii="Arial" w:hAnsi="Arial"/>
      <w:sz w:val="28"/>
    </w:rPr>
  </w:style>
  <w:style w:type="paragraph" w:styleId="Textosinformato">
    <w:name w:val="Plain Text"/>
    <w:basedOn w:val="Normal"/>
    <w:link w:val="TextosinformatoCar"/>
    <w:uiPriority w:val="99"/>
    <w:unhideWhenUsed/>
    <w:rsid w:val="000377A8"/>
    <w:rPr>
      <w:rFonts w:ascii="Arial" w:eastAsia="Calibri" w:hAnsi="Arial"/>
      <w:szCs w:val="21"/>
      <w:lang w:val="es-ES" w:eastAsia="en-US"/>
    </w:rPr>
  </w:style>
  <w:style w:type="character" w:customStyle="1" w:styleId="TextosinformatoCar">
    <w:name w:val="Texto sin formato Car"/>
    <w:basedOn w:val="Fuentedeprrafopredeter"/>
    <w:link w:val="Textosinformato"/>
    <w:uiPriority w:val="99"/>
    <w:rsid w:val="000377A8"/>
    <w:rPr>
      <w:rFonts w:ascii="Arial" w:eastAsia="Calibri" w:hAnsi="Arial"/>
      <w:sz w:val="24"/>
      <w:szCs w:val="21"/>
      <w:lang w:eastAsia="en-US"/>
    </w:rPr>
  </w:style>
  <w:style w:type="paragraph" w:styleId="Prrafodelista">
    <w:name w:val="List Paragraph"/>
    <w:basedOn w:val="Normal"/>
    <w:uiPriority w:val="34"/>
    <w:qFormat/>
    <w:rsid w:val="000377A8"/>
    <w:pPr>
      <w:spacing w:after="200" w:line="276" w:lineRule="auto"/>
      <w:ind w:left="720"/>
    </w:pPr>
    <w:rPr>
      <w:rFonts w:ascii="Calibri" w:eastAsia="Calibri" w:hAnsi="Calibri"/>
      <w:sz w:val="22"/>
      <w:szCs w:val="22"/>
      <w:lang w:val="es-ES" w:eastAsia="es-ES"/>
    </w:rPr>
  </w:style>
  <w:style w:type="paragraph" w:customStyle="1" w:styleId="Standard">
    <w:name w:val="Standard"/>
    <w:rsid w:val="000377A8"/>
    <w:pPr>
      <w:suppressAutoHyphens/>
      <w:autoSpaceDN w:val="0"/>
    </w:pPr>
    <w:rPr>
      <w:rFonts w:ascii="Verdana" w:hAnsi="Verdana" w:cs="Verdana"/>
      <w:kern w:val="3"/>
      <w:sz w:val="22"/>
      <w:szCs w:val="22"/>
      <w:lang w:eastAsia="es-ES_tradnl"/>
    </w:rPr>
  </w:style>
  <w:style w:type="paragraph" w:customStyle="1" w:styleId="Standarduser">
    <w:name w:val="Standard (user)"/>
    <w:rsid w:val="000377A8"/>
    <w:pPr>
      <w:suppressAutoHyphens/>
      <w:autoSpaceDN w:val="0"/>
      <w:spacing w:line="100" w:lineRule="atLeast"/>
    </w:pPr>
    <w:rPr>
      <w:rFonts w:ascii="Verdana" w:eastAsia="Arial Unicode MS" w:hAnsi="Verdana" w:cs="Verdana"/>
      <w:kern w:val="3"/>
      <w:sz w:val="22"/>
      <w:szCs w:val="22"/>
      <w:lang w:eastAsia="es-ES_tradnl"/>
    </w:rPr>
  </w:style>
  <w:style w:type="paragraph" w:customStyle="1" w:styleId="Default">
    <w:name w:val="Default"/>
    <w:rsid w:val="000377A8"/>
    <w:pPr>
      <w:autoSpaceDE w:val="0"/>
      <w:autoSpaceDN w:val="0"/>
      <w:adjustRightInd w:val="0"/>
    </w:pPr>
    <w:rPr>
      <w:rFonts w:ascii="Tahoma" w:hAnsi="Tahoma" w:cs="Tahoma"/>
      <w:color w:val="000000"/>
      <w:sz w:val="24"/>
      <w:szCs w:val="24"/>
      <w:lang w:val="en-US" w:eastAsia="en-US"/>
    </w:rPr>
  </w:style>
  <w:style w:type="paragraph" w:customStyle="1" w:styleId="ecxmsonormal">
    <w:name w:val="ecxmsonormal"/>
    <w:basedOn w:val="Normal"/>
    <w:rsid w:val="000377A8"/>
    <w:pPr>
      <w:spacing w:after="324"/>
    </w:pPr>
    <w:rPr>
      <w:rFonts w:eastAsia="Calibri"/>
      <w:lang w:val="es-CO" w:eastAsia="es-CO"/>
    </w:rPr>
  </w:style>
  <w:style w:type="table" w:styleId="Tablaconcuadrcula">
    <w:name w:val="Table Grid"/>
    <w:basedOn w:val="Tablanormal"/>
    <w:rsid w:val="00C16C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rsid w:val="003C5A3E"/>
    <w:rPr>
      <w:rFonts w:ascii="Tahoma" w:hAnsi="Tahoma" w:cs="Tahoma"/>
      <w:sz w:val="16"/>
      <w:szCs w:val="16"/>
    </w:rPr>
  </w:style>
  <w:style w:type="character" w:customStyle="1" w:styleId="TextodegloboCar">
    <w:name w:val="Texto de globo Car"/>
    <w:basedOn w:val="Fuentedeprrafopredeter"/>
    <w:link w:val="Textodeglobo"/>
    <w:rsid w:val="003C5A3E"/>
    <w:rPr>
      <w:rFonts w:ascii="Tahoma" w:hAnsi="Tahoma" w:cs="Tahoma"/>
      <w:sz w:val="16"/>
      <w:szCs w:val="16"/>
      <w:lang w:val="es-ES_tradnl" w:eastAsia="es-ES_tradnl"/>
    </w:rPr>
  </w:style>
  <w:style w:type="paragraph" w:styleId="Sangradetextonormal">
    <w:name w:val="Body Text Indent"/>
    <w:basedOn w:val="Normal"/>
    <w:link w:val="SangradetextonormalCar"/>
    <w:rsid w:val="0091551E"/>
    <w:pPr>
      <w:spacing w:after="120"/>
      <w:ind w:left="283"/>
    </w:pPr>
  </w:style>
  <w:style w:type="character" w:customStyle="1" w:styleId="SangradetextonormalCar">
    <w:name w:val="Sangría de texto normal Car"/>
    <w:basedOn w:val="Fuentedeprrafopredeter"/>
    <w:link w:val="Sangradetextonormal"/>
    <w:rsid w:val="0091551E"/>
    <w:rPr>
      <w:sz w:val="24"/>
      <w:szCs w:val="24"/>
      <w:lang w:val="es-ES_tradnl" w:eastAsia="es-ES_tradnl"/>
    </w:rPr>
  </w:style>
  <w:style w:type="character" w:customStyle="1" w:styleId="apple-converted-space">
    <w:name w:val="apple-converted-space"/>
    <w:basedOn w:val="Fuentedeprrafopredeter"/>
    <w:rsid w:val="0004405B"/>
  </w:style>
</w:styles>
</file>

<file path=word/webSettings.xml><?xml version="1.0" encoding="utf-8"?>
<w:webSettings xmlns:r="http://schemas.openxmlformats.org/officeDocument/2006/relationships" xmlns:w="http://schemas.openxmlformats.org/wordprocessingml/2006/main">
  <w:divs>
    <w:div w:id="359167374">
      <w:bodyDiv w:val="1"/>
      <w:marLeft w:val="0"/>
      <w:marRight w:val="0"/>
      <w:marTop w:val="0"/>
      <w:marBottom w:val="0"/>
      <w:divBdr>
        <w:top w:val="none" w:sz="0" w:space="0" w:color="auto"/>
        <w:left w:val="none" w:sz="0" w:space="0" w:color="auto"/>
        <w:bottom w:val="none" w:sz="0" w:space="0" w:color="auto"/>
        <w:right w:val="none" w:sz="0" w:space="0" w:color="auto"/>
      </w:divBdr>
    </w:div>
    <w:div w:id="390815675">
      <w:bodyDiv w:val="1"/>
      <w:marLeft w:val="0"/>
      <w:marRight w:val="0"/>
      <w:marTop w:val="0"/>
      <w:marBottom w:val="0"/>
      <w:divBdr>
        <w:top w:val="none" w:sz="0" w:space="0" w:color="auto"/>
        <w:left w:val="none" w:sz="0" w:space="0" w:color="auto"/>
        <w:bottom w:val="none" w:sz="0" w:space="0" w:color="auto"/>
        <w:right w:val="none" w:sz="0" w:space="0" w:color="auto"/>
      </w:divBdr>
    </w:div>
    <w:div w:id="559250516">
      <w:bodyDiv w:val="1"/>
      <w:marLeft w:val="0"/>
      <w:marRight w:val="0"/>
      <w:marTop w:val="0"/>
      <w:marBottom w:val="0"/>
      <w:divBdr>
        <w:top w:val="none" w:sz="0" w:space="0" w:color="auto"/>
        <w:left w:val="none" w:sz="0" w:space="0" w:color="auto"/>
        <w:bottom w:val="none" w:sz="0" w:space="0" w:color="auto"/>
        <w:right w:val="none" w:sz="0" w:space="0" w:color="auto"/>
      </w:divBdr>
    </w:div>
    <w:div w:id="802426484">
      <w:bodyDiv w:val="1"/>
      <w:marLeft w:val="0"/>
      <w:marRight w:val="0"/>
      <w:marTop w:val="0"/>
      <w:marBottom w:val="0"/>
      <w:divBdr>
        <w:top w:val="none" w:sz="0" w:space="0" w:color="auto"/>
        <w:left w:val="none" w:sz="0" w:space="0" w:color="auto"/>
        <w:bottom w:val="none" w:sz="0" w:space="0" w:color="auto"/>
        <w:right w:val="none" w:sz="0" w:space="0" w:color="auto"/>
      </w:divBdr>
    </w:div>
    <w:div w:id="1167787480">
      <w:bodyDiv w:val="1"/>
      <w:marLeft w:val="0"/>
      <w:marRight w:val="0"/>
      <w:marTop w:val="0"/>
      <w:marBottom w:val="0"/>
      <w:divBdr>
        <w:top w:val="none" w:sz="0" w:space="0" w:color="auto"/>
        <w:left w:val="none" w:sz="0" w:space="0" w:color="auto"/>
        <w:bottom w:val="none" w:sz="0" w:space="0" w:color="auto"/>
        <w:right w:val="none" w:sz="0" w:space="0" w:color="auto"/>
      </w:divBdr>
    </w:div>
    <w:div w:id="1330593327">
      <w:bodyDiv w:val="1"/>
      <w:marLeft w:val="0"/>
      <w:marRight w:val="0"/>
      <w:marTop w:val="0"/>
      <w:marBottom w:val="0"/>
      <w:divBdr>
        <w:top w:val="none" w:sz="0" w:space="0" w:color="auto"/>
        <w:left w:val="none" w:sz="0" w:space="0" w:color="auto"/>
        <w:bottom w:val="none" w:sz="0" w:space="0" w:color="auto"/>
        <w:right w:val="none" w:sz="0" w:space="0" w:color="auto"/>
      </w:divBdr>
    </w:div>
    <w:div w:id="20086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1672</Words>
  <Characters>9201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Código</vt:lpstr>
    </vt:vector>
  </TitlesOfParts>
  <Company>Windows uE</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dc:title>
  <dc:subject/>
  <dc:creator>WinuE</dc:creator>
  <cp:keywords/>
  <cp:lastModifiedBy>GSANTOS</cp:lastModifiedBy>
  <cp:revision>3</cp:revision>
  <cp:lastPrinted>2014-01-03T14:39:00Z</cp:lastPrinted>
  <dcterms:created xsi:type="dcterms:W3CDTF">2014-08-04T15:15:00Z</dcterms:created>
  <dcterms:modified xsi:type="dcterms:W3CDTF">2014-08-04T15:21:00Z</dcterms:modified>
</cp:coreProperties>
</file>