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73" w:rsidRPr="00380973" w:rsidRDefault="00380973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8AA4A" wp14:editId="7169A130">
                <wp:simplePos x="0" y="0"/>
                <wp:positionH relativeFrom="page">
                  <wp:align>left</wp:align>
                </wp:positionH>
                <wp:positionV relativeFrom="paragraph">
                  <wp:posOffset>313</wp:posOffset>
                </wp:positionV>
                <wp:extent cx="7586980" cy="405130"/>
                <wp:effectExtent l="0" t="0" r="139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6980" cy="40568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973" w:rsidRPr="00BB3DF5" w:rsidRDefault="00380973" w:rsidP="0038097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BRIEFING – PROJETO REDES DE INCLUSÃO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8A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7.4pt;height:31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" fillcolor="#00b0f0" strokecolor="#00b0f0">
                <v:textbox>
                  <w:txbxContent>
                    <w:p w:rsidR="00380973" w:rsidRPr="00BB3DF5" w:rsidRDefault="00380973" w:rsidP="00380973">
                      <w:pPr>
                        <w:jc w:val="center"/>
                        <w:rPr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BRIEFING – PROJETO REDES DE INCLUSÃO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80973">
        <w:rPr>
          <w:rFonts w:ascii="Tahoma" w:hAnsi="Tahoma" w:cs="Tahoma"/>
          <w:b/>
          <w:sz w:val="24"/>
          <w:szCs w:val="24"/>
        </w:rPr>
        <w:t>Objetivo I</w:t>
      </w:r>
      <w:r w:rsidRPr="00380973">
        <w:rPr>
          <w:rFonts w:ascii="Tahoma" w:hAnsi="Tahoma" w:cs="Tahoma"/>
          <w:sz w:val="24"/>
          <w:szCs w:val="24"/>
        </w:rPr>
        <w:t xml:space="preserve">mplementação das ações no município de Campina Grande-PB, voltado para o apoio às mulheres gestantes, famílias e cuidadores de crianças com Síndrome Congênita do Zika vírus (SCZv) e outras deficiências. </w:t>
      </w:r>
    </w:p>
    <w:p w:rsidR="004D5240" w:rsidRPr="00380973" w:rsidRDefault="004D5240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</w:p>
    <w:p w:rsidR="00844BC1" w:rsidRPr="00380973" w:rsidRDefault="00844BC1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>Nos dias 18 e 19 de abril de 2016, o UNICEF realizou uma</w:t>
      </w:r>
      <w:r w:rsidR="001F190B" w:rsidRPr="00380973">
        <w:rPr>
          <w:rFonts w:ascii="Tahoma" w:hAnsi="Tahoma" w:cs="Tahoma"/>
          <w:sz w:val="24"/>
          <w:szCs w:val="24"/>
        </w:rPr>
        <w:t xml:space="preserve"> roda de diálogo ampliada com os gestores e p</w:t>
      </w:r>
      <w:r w:rsidRPr="00380973">
        <w:rPr>
          <w:rFonts w:ascii="Tahoma" w:hAnsi="Tahoma" w:cs="Tahoma"/>
          <w:sz w:val="24"/>
          <w:szCs w:val="24"/>
        </w:rPr>
        <w:t xml:space="preserve">rofissionais de saúde, e </w:t>
      </w:r>
      <w:r w:rsidR="001F190B" w:rsidRPr="00380973">
        <w:rPr>
          <w:rFonts w:ascii="Tahoma" w:hAnsi="Tahoma" w:cs="Tahoma"/>
          <w:sz w:val="24"/>
          <w:szCs w:val="24"/>
        </w:rPr>
        <w:t xml:space="preserve">a escuta atenta de dois grupos de mulheres/mães de crianças com microcefalia, e de um grupo de multiprofissionais de serviços de saúde, </w:t>
      </w:r>
      <w:r w:rsidRPr="00380973">
        <w:rPr>
          <w:rFonts w:ascii="Tahoma" w:hAnsi="Tahoma" w:cs="Tahoma"/>
          <w:sz w:val="24"/>
          <w:szCs w:val="24"/>
        </w:rPr>
        <w:t xml:space="preserve">o que embasou a elaboração do Projeto Redes de Inclusão. </w:t>
      </w:r>
    </w:p>
    <w:p w:rsidR="0094741C" w:rsidRPr="00380973" w:rsidRDefault="0094741C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</w:p>
    <w:p w:rsidR="0094741C" w:rsidRPr="00380973" w:rsidRDefault="0094741C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380973">
        <w:rPr>
          <w:rFonts w:ascii="Tahoma" w:hAnsi="Tahoma" w:cs="Tahoma"/>
          <w:b/>
          <w:sz w:val="24"/>
          <w:szCs w:val="24"/>
          <w:u w:val="single"/>
        </w:rPr>
        <w:t>Qual o objetivo do projeto Redes de Inclusão?</w:t>
      </w:r>
    </w:p>
    <w:p w:rsidR="0094741C" w:rsidRPr="00380973" w:rsidRDefault="0094741C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405BFF" w:rsidRPr="00380973" w:rsidRDefault="0094741C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 xml:space="preserve">Elaborar, implementar e avaliar uma </w:t>
      </w:r>
      <w:r w:rsidRPr="00380973">
        <w:rPr>
          <w:rFonts w:ascii="Tahoma" w:hAnsi="Tahoma" w:cs="Tahoma"/>
          <w:sz w:val="24"/>
          <w:szCs w:val="24"/>
          <w:u w:val="single"/>
        </w:rPr>
        <w:t>metodologia de intervenção</w:t>
      </w:r>
      <w:r w:rsidRPr="00380973">
        <w:rPr>
          <w:rFonts w:ascii="Tahoma" w:hAnsi="Tahoma" w:cs="Tahoma"/>
          <w:sz w:val="24"/>
          <w:szCs w:val="24"/>
        </w:rPr>
        <w:t xml:space="preserve"> para a atenção integral, integrada e humanizada a mulheres gestantes, a famílias e cuidadores de crianças com</w:t>
      </w:r>
      <w:r w:rsidRPr="00380973">
        <w:rPr>
          <w:rFonts w:ascii="Tahoma" w:hAnsi="Tahoma" w:cs="Tahoma"/>
          <w:b/>
          <w:sz w:val="24"/>
          <w:szCs w:val="24"/>
        </w:rPr>
        <w:t xml:space="preserve"> Síndrome Congênita do ZIKAv e outras deficiências</w:t>
      </w:r>
      <w:r w:rsidRPr="00380973">
        <w:rPr>
          <w:rFonts w:ascii="Tahoma" w:hAnsi="Tahoma" w:cs="Tahoma"/>
          <w:sz w:val="24"/>
          <w:szCs w:val="24"/>
        </w:rPr>
        <w:t xml:space="preserve">. Essa metodologia vem sendo desenvolvida/aplicada em dois municípios, – Recife-PE e em Campina Grande-PB, visando a sustentabilidade das ações e será avaliada e disseminada em nível nacional com o apoio do Ministério da Saúde e da OPAS. </w:t>
      </w:r>
    </w:p>
    <w:p w:rsidR="0094741C" w:rsidRPr="00380973" w:rsidRDefault="0094741C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</w:p>
    <w:p w:rsidR="000041B6" w:rsidRPr="00380973" w:rsidRDefault="00844BC1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380973">
        <w:rPr>
          <w:rFonts w:ascii="Tahoma" w:hAnsi="Tahoma" w:cs="Tahoma"/>
          <w:b/>
          <w:sz w:val="24"/>
          <w:szCs w:val="24"/>
          <w:u w:val="single"/>
        </w:rPr>
        <w:t>Quem São os Parceiros do Redes de Inclusão</w:t>
      </w:r>
      <w:r w:rsidR="0094741C" w:rsidRPr="00380973">
        <w:rPr>
          <w:rFonts w:ascii="Tahoma" w:hAnsi="Tahoma" w:cs="Tahoma"/>
          <w:b/>
          <w:sz w:val="24"/>
          <w:szCs w:val="24"/>
          <w:u w:val="single"/>
        </w:rPr>
        <w:t>?</w:t>
      </w:r>
      <w:r w:rsidR="000041B6" w:rsidRPr="00380973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0041B6" w:rsidRPr="00380973" w:rsidRDefault="00844BC1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 xml:space="preserve">Ministério da Saúde, </w:t>
      </w:r>
    </w:p>
    <w:p w:rsidR="000041B6" w:rsidRPr="00380973" w:rsidRDefault="000041B6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 xml:space="preserve">Secretaria de Saúde do Estado de Pernambuco, </w:t>
      </w:r>
    </w:p>
    <w:p w:rsidR="000041B6" w:rsidRPr="00380973" w:rsidRDefault="000041B6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>Secretaria Municipal de Saúde da cidade de Recife,</w:t>
      </w:r>
    </w:p>
    <w:p w:rsidR="000041B6" w:rsidRPr="00380973" w:rsidRDefault="000041B6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>Conselho Nacional de Secretarias Municipais de Saúde (CONASEMS)</w:t>
      </w:r>
    </w:p>
    <w:p w:rsidR="000041B6" w:rsidRPr="00380973" w:rsidRDefault="00844BC1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>Ministério do Desenvolvimento Social e Agrário (MDSA)</w:t>
      </w:r>
      <w:r w:rsidR="000041B6" w:rsidRPr="00380973">
        <w:rPr>
          <w:rFonts w:ascii="Tahoma" w:hAnsi="Tahoma" w:cs="Tahoma"/>
          <w:b/>
          <w:sz w:val="24"/>
          <w:szCs w:val="24"/>
        </w:rPr>
        <w:t xml:space="preserve">, </w:t>
      </w:r>
    </w:p>
    <w:p w:rsidR="000041B6" w:rsidRPr="00380973" w:rsidRDefault="00844BC1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>Organização Pan-Americana da Saúde - OPAS/OMS,</w:t>
      </w:r>
    </w:p>
    <w:p w:rsidR="000041B6" w:rsidRPr="00380973" w:rsidRDefault="00844BC1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 xml:space="preserve">ONU Mulheres, </w:t>
      </w:r>
    </w:p>
    <w:p w:rsidR="000041B6" w:rsidRPr="00380973" w:rsidRDefault="000041B6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 xml:space="preserve">Fundação Altino Ventura e a Universidade Federal Rural de Pernambuco (parceiros implementadores do Redes de Inclusão no município de Recife-PE e no município de Campina Grande); </w:t>
      </w:r>
    </w:p>
    <w:p w:rsidR="00844BC1" w:rsidRPr="00380973" w:rsidRDefault="00844BC1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 xml:space="preserve">Instituto de Pesquisa e Apoio ao Desenvolvimento Social -  IPADS (Projeto Zikalab), </w:t>
      </w:r>
    </w:p>
    <w:p w:rsidR="00380973" w:rsidRPr="00380973" w:rsidRDefault="00380973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</w:p>
    <w:p w:rsidR="00380973" w:rsidRPr="00380973" w:rsidRDefault="00380973" w:rsidP="00380973">
      <w:pPr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 xml:space="preserve">São 2 (dois) cenários: </w:t>
      </w:r>
    </w:p>
    <w:p w:rsidR="00380973" w:rsidRPr="00380973" w:rsidRDefault="00380973" w:rsidP="00380973">
      <w:pPr>
        <w:pStyle w:val="ListParagraph"/>
        <w:numPr>
          <w:ilvl w:val="0"/>
          <w:numId w:val="1"/>
        </w:numPr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  <w:u w:val="single"/>
        </w:rPr>
        <w:t>Prevenção do Aedes aegypti</w:t>
      </w:r>
      <w:r w:rsidRPr="00380973">
        <w:rPr>
          <w:rFonts w:ascii="Tahoma" w:hAnsi="Tahoma" w:cs="Tahoma"/>
          <w:sz w:val="24"/>
          <w:szCs w:val="24"/>
        </w:rPr>
        <w:t xml:space="preserve"> (Dezembro de 2016). </w:t>
      </w:r>
    </w:p>
    <w:p w:rsidR="00380973" w:rsidRPr="00380973" w:rsidRDefault="00380973" w:rsidP="00380973">
      <w:pPr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 xml:space="preserve">No início da epidemia o governo federal, por intermédio do Ministério da Saúde, gestor federal do sistema Único de Saúde, solicitou o apoio do UNICEF para a prevenção ao Aedes aegypti, considerando a capilaridade das ações do Selo UNICEF. Em reposta o UNICEF elaborou um plano de ação. </w:t>
      </w:r>
    </w:p>
    <w:p w:rsidR="00380973" w:rsidRPr="00380973" w:rsidRDefault="00380973" w:rsidP="00380973">
      <w:pPr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>Resultados alcançados</w:t>
      </w:r>
      <w:r w:rsidRPr="00380973">
        <w:rPr>
          <w:rFonts w:ascii="Tahoma" w:hAnsi="Tahoma" w:cs="Tahoma"/>
          <w:sz w:val="24"/>
          <w:szCs w:val="24"/>
        </w:rPr>
        <w:t xml:space="preserve">: Foram realizados 31 eventos de capacitação para 3.011 representantes de 991 municípios em 19 estados do Semiárido e regiões amazônicas. </w:t>
      </w:r>
      <w:r w:rsidRPr="00380973">
        <w:rPr>
          <w:rFonts w:ascii="Tahoma" w:hAnsi="Tahoma" w:cs="Tahoma"/>
          <w:sz w:val="24"/>
          <w:szCs w:val="24"/>
        </w:rPr>
        <w:lastRenderedPageBreak/>
        <w:t xml:space="preserve">Um total de 1.003 crianças e adolescentes receberam treinamento direto para atuarem como agentes de mobilização social para as suas comunidades. O Selo UNICEF Município aprovado encontra-se na fase de avaliação, e os municípios certificados devem ser anunciados na segunda metade de novembro de 2016.  As ações de combate ao Aedes aegypti, apesar de ter sido incorporada à metodologia do Selo este ano, foi a </w:t>
      </w:r>
      <w:r w:rsidRPr="00380973">
        <w:rPr>
          <w:rFonts w:ascii="Tahoma" w:hAnsi="Tahoma" w:cs="Tahoma"/>
          <w:sz w:val="24"/>
          <w:szCs w:val="24"/>
          <w:u w:val="single"/>
        </w:rPr>
        <w:t>quarta ação,</w:t>
      </w:r>
      <w:r w:rsidRPr="00380973">
        <w:rPr>
          <w:rFonts w:ascii="Tahoma" w:hAnsi="Tahoma" w:cs="Tahoma"/>
          <w:sz w:val="24"/>
          <w:szCs w:val="24"/>
        </w:rPr>
        <w:t xml:space="preserve"> em um total de 28, com mais conteúdos enviados pelos municípios com 5.311 postagens na Plataforma do Selo UNICEF –Crescendo Juntos. </w:t>
      </w:r>
    </w:p>
    <w:p w:rsidR="00380973" w:rsidRPr="00380973" w:rsidRDefault="00380973" w:rsidP="00380973">
      <w:pPr>
        <w:ind w:left="450" w:right="-244"/>
        <w:jc w:val="both"/>
        <w:rPr>
          <w:rFonts w:ascii="Tahoma" w:eastAsia="Calibri" w:hAnsi="Tahoma" w:cs="Tahoma"/>
          <w:sz w:val="24"/>
          <w:szCs w:val="24"/>
        </w:rPr>
      </w:pPr>
      <w:r w:rsidRPr="00380973">
        <w:rPr>
          <w:rFonts w:ascii="Tahoma" w:eastAsia="Calibri" w:hAnsi="Tahoma" w:cs="Tahoma"/>
          <w:sz w:val="24"/>
          <w:szCs w:val="24"/>
          <w:u w:val="single"/>
        </w:rPr>
        <w:t>2 – Atenção às pessoas</w:t>
      </w:r>
      <w:r w:rsidRPr="00380973">
        <w:rPr>
          <w:rFonts w:ascii="Tahoma" w:eastAsia="Calibri" w:hAnsi="Tahoma" w:cs="Tahoma"/>
          <w:sz w:val="24"/>
          <w:szCs w:val="24"/>
        </w:rPr>
        <w:t xml:space="preserve"> – mulheres gestante, famílias e cuidadores de crianças com síndrome congênita do zika vírus e outras deficiências (Março de 2016).  </w:t>
      </w:r>
    </w:p>
    <w:p w:rsidR="00380973" w:rsidRPr="00380973" w:rsidRDefault="00380973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>No mês de março, o UNICEF passou a receber demandas dos territórios em relação ao crescente número de crianças afetadas pela infecção do Zika vírus. Considerando a missão do UNICEF na promoção, proteção e defesa dos direitos de criança e adolescentes.</w:t>
      </w:r>
    </w:p>
    <w:p w:rsidR="00380973" w:rsidRPr="00380973" w:rsidRDefault="00380973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</w:p>
    <w:p w:rsidR="00380973" w:rsidRPr="00380973" w:rsidRDefault="00380973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 xml:space="preserve"> Imediatamente, o UNICEF, com a finalidade de tornar mais ágil as respostas de apoio às famílias e cuidadores de crianças com microcefalia e outras deficiências, e evitar superposição de ações, e a maximização dos recursos, buscou a parceria com o Ministério da Saúde e a Organização Pan-Americana da Saúde - OPAS/OMS.  Mais recentemente, passaram a integrar também a esse projeto, o Conselho Nacional de Secretarias Municipais de Saúde (CONASEMS); o Instituto de Pesquisa e Apoio ao Desenvolvimento Social -  IPADS (Projeto Zikalab, voltado para capacitação dos profissionais de saúde, em 6 municípios brasileiros, entre esses o de Campina Grande-PB).</w:t>
      </w:r>
    </w:p>
    <w:p w:rsidR="00380973" w:rsidRPr="00380973" w:rsidRDefault="00380973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</w:p>
    <w:p w:rsidR="00380973" w:rsidRPr="00380973" w:rsidRDefault="00380973" w:rsidP="00380973">
      <w:pPr>
        <w:shd w:val="clear" w:color="auto" w:fill="E7E6E6" w:themeFill="background2"/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>Em reposta o UNICEF estruturou o Projeto Redes de Inclusão (parceiro financiador Johnson &amp; Johnson) que tem por objetivo elaborar, implementar e avaliar uma metodologia de intervenção para a atenção integral, integrada e humanizada a mulheres gestantes, a famílias e cuidadores de crianças com</w:t>
      </w:r>
      <w:r w:rsidRPr="00380973">
        <w:rPr>
          <w:rFonts w:ascii="Tahoma" w:hAnsi="Tahoma" w:cs="Tahoma"/>
          <w:b/>
          <w:sz w:val="24"/>
          <w:szCs w:val="24"/>
        </w:rPr>
        <w:t xml:space="preserve"> Síndrome Congênita do ZIKAv e outras deficiências</w:t>
      </w:r>
      <w:r w:rsidRPr="00380973">
        <w:rPr>
          <w:rFonts w:ascii="Tahoma" w:hAnsi="Tahoma" w:cs="Tahoma"/>
          <w:sz w:val="24"/>
          <w:szCs w:val="24"/>
        </w:rPr>
        <w:t xml:space="preserve">. Essa metodologia será desenvolvida/aplicada em dois municípios, – Recife-PE e em Campina Grande-PB, visando a sustentabilidade das ações, será avaliada e disseminada em nível nacional com o apoio do Ministério da Saúde e a OPAS (APRESENTAÇÃO PPT). </w:t>
      </w:r>
    </w:p>
    <w:p w:rsidR="00380973" w:rsidRPr="00380973" w:rsidRDefault="00380973" w:rsidP="00380973">
      <w:pPr>
        <w:shd w:val="clear" w:color="auto" w:fill="E7E6E6" w:themeFill="background2"/>
        <w:ind w:right="-244"/>
        <w:jc w:val="both"/>
        <w:rPr>
          <w:rFonts w:ascii="Tahoma" w:eastAsia="Calibri" w:hAnsi="Tahoma" w:cs="Tahoma"/>
          <w:b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 xml:space="preserve">O Projeto foi elaborado, partir dos resultados roda de diálogo ampliada com os gestores e profissionais de saúde, e da escuta atenta de dois grupos de mulheres/mães de crianças com microcefalia, e de um grupo de multiprofissionais de serviços de saúde, realizado em Recife-PE, nos dias 18 e 19 de abril de 2016 (APRESENTAÇÃO PPT) </w:t>
      </w:r>
    </w:p>
    <w:p w:rsidR="00380973" w:rsidRPr="00380973" w:rsidRDefault="00380973" w:rsidP="00380973">
      <w:pPr>
        <w:ind w:right="-244"/>
        <w:jc w:val="both"/>
        <w:rPr>
          <w:rFonts w:ascii="Tahoma" w:eastAsia="Calibri" w:hAnsi="Tahoma" w:cs="Tahoma"/>
          <w:sz w:val="24"/>
          <w:szCs w:val="24"/>
        </w:rPr>
      </w:pPr>
      <w:r w:rsidRPr="00380973">
        <w:rPr>
          <w:rFonts w:ascii="Tahoma" w:eastAsia="Calibri" w:hAnsi="Tahoma" w:cs="Tahoma"/>
          <w:b/>
          <w:sz w:val="24"/>
          <w:szCs w:val="24"/>
        </w:rPr>
        <w:t>Resultados de processo: o</w:t>
      </w:r>
      <w:r w:rsidRPr="00380973">
        <w:rPr>
          <w:rFonts w:ascii="Tahoma" w:eastAsia="Calibri" w:hAnsi="Tahoma" w:cs="Tahoma"/>
          <w:sz w:val="24"/>
          <w:szCs w:val="24"/>
        </w:rPr>
        <w:t xml:space="preserve"> município de Recife- PE já assumiu a coordenação do processo de implementação do projeto com a estruturação do comitê intersetorial do Redes de Inclusão. E, o município de Campina Grande – PB, assumirá o mesmo papel, após a roda de diálogo com os gestores. </w:t>
      </w:r>
    </w:p>
    <w:p w:rsidR="00380973" w:rsidRPr="00380973" w:rsidRDefault="00380973" w:rsidP="00380973">
      <w:pPr>
        <w:ind w:right="-244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380973">
        <w:rPr>
          <w:rFonts w:ascii="Tahoma" w:eastAsia="Calibri" w:hAnsi="Tahoma" w:cs="Tahoma"/>
          <w:b/>
          <w:sz w:val="24"/>
          <w:szCs w:val="24"/>
          <w:u w:val="single"/>
        </w:rPr>
        <w:t>Situação atual</w:t>
      </w:r>
      <w:bookmarkStart w:id="0" w:name="_GoBack"/>
      <w:bookmarkEnd w:id="0"/>
    </w:p>
    <w:p w:rsidR="00380973" w:rsidRPr="00380973" w:rsidRDefault="00380973" w:rsidP="00380973">
      <w:pPr>
        <w:ind w:right="-244"/>
        <w:jc w:val="both"/>
        <w:rPr>
          <w:rFonts w:ascii="Tahoma" w:eastAsia="Calibri" w:hAnsi="Tahoma" w:cs="Tahoma"/>
          <w:sz w:val="24"/>
          <w:szCs w:val="24"/>
        </w:rPr>
      </w:pPr>
      <w:r w:rsidRPr="00380973">
        <w:rPr>
          <w:rFonts w:ascii="Tahoma" w:eastAsia="Calibri" w:hAnsi="Tahoma" w:cs="Tahoma"/>
          <w:b/>
          <w:sz w:val="24"/>
          <w:szCs w:val="24"/>
        </w:rPr>
        <w:lastRenderedPageBreak/>
        <w:t>A</w:t>
      </w:r>
      <w:r w:rsidRPr="00380973">
        <w:rPr>
          <w:rFonts w:ascii="Tahoma" w:eastAsia="Calibri" w:hAnsi="Tahoma" w:cs="Tahoma"/>
          <w:sz w:val="24"/>
          <w:szCs w:val="24"/>
        </w:rPr>
        <w:t>té 03 de setembro de 2016 (SE 35</w:t>
      </w:r>
      <w:r w:rsidRPr="00380973">
        <w:rPr>
          <w:rFonts w:ascii="Tahoma" w:eastAsia="Calibri" w:hAnsi="Tahoma" w:cs="Tahoma"/>
          <w:b/>
          <w:sz w:val="24"/>
          <w:szCs w:val="24"/>
        </w:rPr>
        <w:t>), 9.289 casos foram notificados</w:t>
      </w:r>
      <w:r w:rsidRPr="00380973">
        <w:rPr>
          <w:rFonts w:ascii="Tahoma" w:eastAsia="Calibri" w:hAnsi="Tahoma" w:cs="Tahoma"/>
          <w:sz w:val="24"/>
          <w:szCs w:val="24"/>
        </w:rPr>
        <w:t>, segundo as definições do Protocolo de vigilância (recém-nascido, natimorto, abortamento ou feto). Sendo,</w:t>
      </w:r>
      <w:r w:rsidRPr="00380973">
        <w:rPr>
          <w:rFonts w:ascii="Tahoma" w:eastAsia="Calibri" w:hAnsi="Tahoma" w:cs="Tahoma"/>
          <w:b/>
          <w:sz w:val="24"/>
          <w:szCs w:val="24"/>
        </w:rPr>
        <w:t xml:space="preserve"> 1.888 casos confirmados </w:t>
      </w:r>
      <w:r w:rsidRPr="00380973">
        <w:rPr>
          <w:rFonts w:ascii="Tahoma" w:eastAsia="Calibri" w:hAnsi="Tahoma" w:cs="Tahoma"/>
          <w:sz w:val="24"/>
          <w:szCs w:val="24"/>
        </w:rPr>
        <w:t xml:space="preserve">para microcefalia e/ou alteração do SNC sugestivos de infecção congênita e </w:t>
      </w:r>
      <w:r w:rsidRPr="00380973">
        <w:rPr>
          <w:rFonts w:ascii="Tahoma" w:eastAsia="Calibri" w:hAnsi="Tahoma" w:cs="Tahoma"/>
          <w:b/>
          <w:sz w:val="24"/>
          <w:szCs w:val="24"/>
        </w:rPr>
        <w:t>4.412</w:t>
      </w:r>
      <w:r w:rsidRPr="00380973">
        <w:rPr>
          <w:rFonts w:ascii="Tahoma" w:eastAsia="Calibri" w:hAnsi="Tahoma" w:cs="Tahoma"/>
          <w:sz w:val="24"/>
          <w:szCs w:val="24"/>
        </w:rPr>
        <w:t xml:space="preserve"> </w:t>
      </w:r>
      <w:r w:rsidRPr="00380973">
        <w:rPr>
          <w:rFonts w:ascii="Tahoma" w:eastAsia="Calibri" w:hAnsi="Tahoma" w:cs="Tahoma"/>
          <w:b/>
          <w:sz w:val="24"/>
          <w:szCs w:val="24"/>
        </w:rPr>
        <w:t>casos foram descartados. C</w:t>
      </w:r>
      <w:r w:rsidRPr="00380973">
        <w:rPr>
          <w:rFonts w:ascii="Tahoma" w:eastAsia="Calibri" w:hAnsi="Tahoma" w:cs="Tahoma"/>
          <w:sz w:val="24"/>
          <w:szCs w:val="24"/>
        </w:rPr>
        <w:t xml:space="preserve">ontinuam em investigação 2.989 (32,2%) do total de casos notificados.  </w:t>
      </w:r>
    </w:p>
    <w:p w:rsidR="00380973" w:rsidRPr="00380973" w:rsidRDefault="00380973" w:rsidP="00380973">
      <w:pPr>
        <w:ind w:right="-244"/>
        <w:jc w:val="both"/>
        <w:rPr>
          <w:rFonts w:ascii="Tahoma" w:eastAsia="Calibri" w:hAnsi="Tahoma" w:cs="Tahoma"/>
          <w:sz w:val="24"/>
          <w:szCs w:val="24"/>
        </w:rPr>
      </w:pPr>
      <w:r w:rsidRPr="00380973">
        <w:rPr>
          <w:rFonts w:ascii="Tahoma" w:eastAsia="Calibri" w:hAnsi="Tahoma" w:cs="Tahoma"/>
          <w:b/>
          <w:sz w:val="24"/>
          <w:szCs w:val="24"/>
        </w:rPr>
        <w:t>O Estado da Paraíba</w:t>
      </w:r>
      <w:r w:rsidRPr="00380973">
        <w:rPr>
          <w:rFonts w:ascii="Tahoma" w:eastAsia="Calibri" w:hAnsi="Tahoma" w:cs="Tahoma"/>
          <w:sz w:val="24"/>
          <w:szCs w:val="24"/>
        </w:rPr>
        <w:t>, é o terceiro no País com o maior número de casos confirmados, 163 e 541 casos descartados. Continuam em investigação 198 casos, de um total de 902 casos notificados. O município de Campina Grande responde pelo o atendimento em saúde, para a estimulação precoce, de 67% dos casos confirmados no Estado da Paraíba.</w:t>
      </w:r>
    </w:p>
    <w:p w:rsidR="00380973" w:rsidRPr="00380973" w:rsidRDefault="00380973" w:rsidP="00380973">
      <w:pPr>
        <w:ind w:right="-244"/>
        <w:jc w:val="both"/>
        <w:rPr>
          <w:rFonts w:ascii="Tahoma" w:eastAsia="Calibri" w:hAnsi="Tahoma" w:cs="Tahoma"/>
          <w:sz w:val="24"/>
          <w:szCs w:val="24"/>
        </w:rPr>
      </w:pPr>
      <w:r w:rsidRPr="00380973">
        <w:rPr>
          <w:rFonts w:ascii="Tahoma" w:eastAsia="Calibri" w:hAnsi="Tahoma" w:cs="Tahoma"/>
          <w:b/>
          <w:sz w:val="24"/>
          <w:szCs w:val="24"/>
        </w:rPr>
        <w:t>Em Campina Grande – PB são 15 casos n</w:t>
      </w:r>
      <w:r w:rsidRPr="00380973">
        <w:rPr>
          <w:rFonts w:ascii="Tahoma" w:eastAsia="Calibri" w:hAnsi="Tahoma" w:cs="Tahoma"/>
          <w:sz w:val="24"/>
          <w:szCs w:val="24"/>
        </w:rPr>
        <w:t xml:space="preserve">otificados (residentes do município). Em Investigação: zero. São 14 confirmados e 1 (um) caso descartado e 1 (um) óbitos (notificado e confirmado).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380"/>
        <w:gridCol w:w="1362"/>
        <w:gridCol w:w="1554"/>
        <w:gridCol w:w="1540"/>
        <w:gridCol w:w="1512"/>
      </w:tblGrid>
      <w:tr w:rsidR="00380973" w:rsidRPr="00380973" w:rsidTr="00517A3E">
        <w:trPr>
          <w:trHeight w:val="566"/>
        </w:trPr>
        <w:tc>
          <w:tcPr>
            <w:tcW w:w="1772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 xml:space="preserve">Estados </w:t>
            </w:r>
          </w:p>
        </w:tc>
        <w:tc>
          <w:tcPr>
            <w:tcW w:w="1232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 xml:space="preserve">Notificados 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% Pais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 xml:space="preserve">Em Investigação 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 xml:space="preserve">Confirmados 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Descartados</w:t>
            </w:r>
          </w:p>
        </w:tc>
      </w:tr>
      <w:tr w:rsidR="00380973" w:rsidRPr="00380973" w:rsidTr="00517A3E">
        <w:tc>
          <w:tcPr>
            <w:tcW w:w="1772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 xml:space="preserve">Paraíba </w:t>
            </w:r>
          </w:p>
        </w:tc>
        <w:tc>
          <w:tcPr>
            <w:tcW w:w="1232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902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9,7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198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163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541</w:t>
            </w:r>
          </w:p>
        </w:tc>
      </w:tr>
      <w:tr w:rsidR="00380973" w:rsidRPr="00380973" w:rsidTr="00517A3E">
        <w:trPr>
          <w:trHeight w:val="296"/>
        </w:trPr>
        <w:tc>
          <w:tcPr>
            <w:tcW w:w="1772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 xml:space="preserve">Campina Grande </w:t>
            </w:r>
          </w:p>
        </w:tc>
        <w:tc>
          <w:tcPr>
            <w:tcW w:w="1232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15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14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01</w:t>
            </w:r>
          </w:p>
        </w:tc>
      </w:tr>
      <w:tr w:rsidR="00380973" w:rsidRPr="00380973" w:rsidTr="00517A3E">
        <w:tc>
          <w:tcPr>
            <w:tcW w:w="6010" w:type="dxa"/>
            <w:gridSpan w:val="4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Outros municípios do Estado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380973">
              <w:rPr>
                <w:rFonts w:ascii="Tahoma" w:eastAsia="Calibri" w:hAnsi="Tahoma" w:cs="Tahoma"/>
                <w:sz w:val="24"/>
                <w:szCs w:val="24"/>
              </w:rPr>
              <w:t>104</w:t>
            </w:r>
          </w:p>
        </w:tc>
        <w:tc>
          <w:tcPr>
            <w:tcW w:w="1503" w:type="dxa"/>
          </w:tcPr>
          <w:p w:rsidR="00380973" w:rsidRPr="00380973" w:rsidRDefault="00380973" w:rsidP="00380973">
            <w:pPr>
              <w:ind w:right="-244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380973" w:rsidRPr="00380973" w:rsidRDefault="00380973" w:rsidP="00380973">
      <w:pPr>
        <w:ind w:right="-244"/>
        <w:jc w:val="both"/>
        <w:rPr>
          <w:rFonts w:ascii="Tahoma" w:hAnsi="Tahoma" w:cs="Tahoma"/>
          <w:sz w:val="24"/>
          <w:szCs w:val="24"/>
        </w:rPr>
      </w:pPr>
    </w:p>
    <w:p w:rsidR="0094741C" w:rsidRPr="00380973" w:rsidRDefault="0094741C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  <w:u w:val="single"/>
        </w:rPr>
      </w:pPr>
    </w:p>
    <w:p w:rsidR="000041B6" w:rsidRPr="00380973" w:rsidRDefault="000041B6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  <w:u w:val="single"/>
        </w:rPr>
      </w:pPr>
      <w:r w:rsidRPr="00380973">
        <w:rPr>
          <w:rFonts w:ascii="Tahoma" w:hAnsi="Tahoma" w:cs="Tahoma"/>
          <w:sz w:val="24"/>
          <w:szCs w:val="24"/>
          <w:u w:val="single"/>
        </w:rPr>
        <w:t>Johnson &amp; Johnson o nosso parceiro financiador do Projeto Redes de Inclusão e também do projeto Zikalab.</w:t>
      </w:r>
    </w:p>
    <w:p w:rsidR="000041B6" w:rsidRPr="00380973" w:rsidRDefault="000041B6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</w:p>
    <w:p w:rsidR="00844BC1" w:rsidRPr="00380973" w:rsidRDefault="00844BC1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 xml:space="preserve">A parceria </w:t>
      </w:r>
      <w:r w:rsidR="000041B6" w:rsidRPr="00380973">
        <w:rPr>
          <w:rFonts w:ascii="Tahoma" w:hAnsi="Tahoma" w:cs="Tahoma"/>
          <w:sz w:val="24"/>
          <w:szCs w:val="24"/>
        </w:rPr>
        <w:t xml:space="preserve">entre esses dois projetos foi bastante oportuna.  </w:t>
      </w:r>
      <w:r w:rsidR="000041B6" w:rsidRPr="00380973">
        <w:rPr>
          <w:rFonts w:ascii="Tahoma" w:hAnsi="Tahoma" w:cs="Tahoma"/>
          <w:b/>
          <w:sz w:val="24"/>
          <w:szCs w:val="24"/>
        </w:rPr>
        <w:t xml:space="preserve">As ações dos dois projetos se complementam em suas ofertas para os 2 (dois) municípios. Nesse sentido, o </w:t>
      </w:r>
      <w:r w:rsidRPr="00380973">
        <w:rPr>
          <w:rFonts w:ascii="Tahoma" w:hAnsi="Tahoma" w:cs="Tahoma"/>
          <w:sz w:val="24"/>
          <w:szCs w:val="24"/>
        </w:rPr>
        <w:t xml:space="preserve">UNICEF imediatamente ao tomar conhecimento do Projeto Zikalab buscou essa interlocução para o alinhamento das ofertas de apoio a esses dois municípios. Também, considerando a importância de maximização dos recursos, evitando </w:t>
      </w:r>
      <w:r w:rsidR="000041B6" w:rsidRPr="00380973">
        <w:rPr>
          <w:rFonts w:ascii="Tahoma" w:hAnsi="Tahoma" w:cs="Tahoma"/>
          <w:sz w:val="24"/>
          <w:szCs w:val="24"/>
        </w:rPr>
        <w:t xml:space="preserve">superposição de ações, e de </w:t>
      </w:r>
      <w:r w:rsidRPr="00380973">
        <w:rPr>
          <w:rFonts w:ascii="Tahoma" w:hAnsi="Tahoma" w:cs="Tahoma"/>
          <w:sz w:val="24"/>
          <w:szCs w:val="24"/>
        </w:rPr>
        <w:t>sobrecar</w:t>
      </w:r>
      <w:r w:rsidR="000041B6" w:rsidRPr="00380973">
        <w:rPr>
          <w:rFonts w:ascii="Tahoma" w:hAnsi="Tahoma" w:cs="Tahoma"/>
          <w:sz w:val="24"/>
          <w:szCs w:val="24"/>
        </w:rPr>
        <w:t xml:space="preserve">ga de atividades para os municípios </w:t>
      </w:r>
      <w:r w:rsidR="002E0365" w:rsidRPr="00380973">
        <w:rPr>
          <w:rFonts w:ascii="Tahoma" w:hAnsi="Tahoma" w:cs="Tahoma"/>
          <w:sz w:val="24"/>
          <w:szCs w:val="24"/>
        </w:rPr>
        <w:t>onde vem sendo desenvolvidas as ações d</w:t>
      </w:r>
      <w:r w:rsidR="000041B6" w:rsidRPr="00380973">
        <w:rPr>
          <w:rFonts w:ascii="Tahoma" w:hAnsi="Tahoma" w:cs="Tahoma"/>
          <w:sz w:val="24"/>
          <w:szCs w:val="24"/>
        </w:rPr>
        <w:t>esses dos dois pro</w:t>
      </w:r>
      <w:r w:rsidR="002E0365" w:rsidRPr="00380973">
        <w:rPr>
          <w:rFonts w:ascii="Tahoma" w:hAnsi="Tahoma" w:cs="Tahoma"/>
          <w:sz w:val="24"/>
          <w:szCs w:val="24"/>
        </w:rPr>
        <w:t>jetos.</w:t>
      </w:r>
    </w:p>
    <w:p w:rsidR="002E0365" w:rsidRPr="00380973" w:rsidRDefault="002E0365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</w:p>
    <w:p w:rsidR="00405BFF" w:rsidRPr="00380973" w:rsidRDefault="0094741C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>O projeto está e</w:t>
      </w:r>
      <w:r w:rsidR="00405BFF" w:rsidRPr="00380973">
        <w:rPr>
          <w:rFonts w:ascii="Tahoma" w:hAnsi="Tahoma" w:cs="Tahoma"/>
          <w:sz w:val="24"/>
          <w:szCs w:val="24"/>
        </w:rPr>
        <w:t>struturado em três eixos</w:t>
      </w:r>
      <w:r w:rsidR="001F190B" w:rsidRPr="00380973">
        <w:rPr>
          <w:rFonts w:ascii="Tahoma" w:hAnsi="Tahoma" w:cs="Tahoma"/>
          <w:sz w:val="24"/>
          <w:szCs w:val="24"/>
        </w:rPr>
        <w:t xml:space="preserve">, com ações voltadas para:  </w:t>
      </w:r>
      <w:r w:rsidR="00405BFF" w:rsidRPr="00380973">
        <w:rPr>
          <w:rFonts w:ascii="Tahoma" w:hAnsi="Tahoma" w:cs="Tahoma"/>
          <w:sz w:val="24"/>
          <w:szCs w:val="24"/>
        </w:rPr>
        <w:t xml:space="preserve">famílias e cuidadores de crianças coma Síndrome Congênita do Zika </w:t>
      </w:r>
      <w:r w:rsidR="001F190B" w:rsidRPr="00380973">
        <w:rPr>
          <w:rFonts w:ascii="Tahoma" w:hAnsi="Tahoma" w:cs="Tahoma"/>
          <w:sz w:val="24"/>
          <w:szCs w:val="24"/>
        </w:rPr>
        <w:t>e outras deficiências; profissionais de saúde, educação e proteção social; articulação intersetorial e o trabalho em redes</w:t>
      </w:r>
      <w:r w:rsidR="00405BFF" w:rsidRPr="00380973">
        <w:rPr>
          <w:rFonts w:ascii="Tahoma" w:hAnsi="Tahoma" w:cs="Tahoma"/>
          <w:sz w:val="24"/>
          <w:szCs w:val="24"/>
        </w:rPr>
        <w:t xml:space="preserve">. </w:t>
      </w:r>
    </w:p>
    <w:p w:rsidR="008959A1" w:rsidRPr="00380973" w:rsidRDefault="008959A1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</w:p>
    <w:p w:rsidR="008959A1" w:rsidRPr="00380973" w:rsidRDefault="008959A1" w:rsidP="00380973">
      <w:pPr>
        <w:spacing w:after="0" w:line="276" w:lineRule="auto"/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t xml:space="preserve">A metodologia </w:t>
      </w:r>
    </w:p>
    <w:p w:rsidR="00BE6E15" w:rsidRPr="00380973" w:rsidRDefault="0094741C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 xml:space="preserve">Os dois municípios Recife-PE e Campina Grande – PB, já , ao </w:t>
      </w:r>
      <w:r w:rsidR="00657C36" w:rsidRPr="00380973">
        <w:rPr>
          <w:rFonts w:ascii="Tahoma" w:hAnsi="Tahoma" w:cs="Tahoma"/>
          <w:sz w:val="24"/>
          <w:szCs w:val="24"/>
        </w:rPr>
        <w:t xml:space="preserve">se tornarem parceiros do projeto, </w:t>
      </w:r>
      <w:r w:rsidR="00D86CD4" w:rsidRPr="00380973">
        <w:rPr>
          <w:rFonts w:ascii="Tahoma" w:hAnsi="Tahoma" w:cs="Tahoma"/>
          <w:sz w:val="24"/>
          <w:szCs w:val="24"/>
        </w:rPr>
        <w:t>assu</w:t>
      </w:r>
      <w:r w:rsidR="007B5255" w:rsidRPr="00380973">
        <w:rPr>
          <w:rFonts w:ascii="Tahoma" w:hAnsi="Tahoma" w:cs="Tahoma"/>
          <w:sz w:val="24"/>
          <w:szCs w:val="24"/>
        </w:rPr>
        <w:t>mi</w:t>
      </w:r>
      <w:r w:rsidR="008959A1" w:rsidRPr="00380973">
        <w:rPr>
          <w:rFonts w:ascii="Tahoma" w:hAnsi="Tahoma" w:cs="Tahoma"/>
          <w:sz w:val="24"/>
          <w:szCs w:val="24"/>
        </w:rPr>
        <w:t>ram a posição de</w:t>
      </w:r>
      <w:r w:rsidR="00D86CD4" w:rsidRPr="00380973">
        <w:rPr>
          <w:rFonts w:ascii="Tahoma" w:hAnsi="Tahoma" w:cs="Tahoma"/>
          <w:sz w:val="24"/>
          <w:szCs w:val="24"/>
        </w:rPr>
        <w:t xml:space="preserve"> liderança do processo de implementação </w:t>
      </w:r>
      <w:r w:rsidR="00657C36" w:rsidRPr="00380973">
        <w:rPr>
          <w:rFonts w:ascii="Tahoma" w:hAnsi="Tahoma" w:cs="Tahoma"/>
          <w:sz w:val="24"/>
          <w:szCs w:val="24"/>
        </w:rPr>
        <w:t>no território</w:t>
      </w:r>
      <w:r w:rsidR="004838DD" w:rsidRPr="00380973">
        <w:rPr>
          <w:rFonts w:ascii="Tahoma" w:hAnsi="Tahoma" w:cs="Tahoma"/>
          <w:sz w:val="24"/>
          <w:szCs w:val="24"/>
        </w:rPr>
        <w:t xml:space="preserve">. Com isso, </w:t>
      </w:r>
      <w:r w:rsidR="00D86CD4" w:rsidRPr="00380973">
        <w:rPr>
          <w:rFonts w:ascii="Tahoma" w:hAnsi="Tahoma" w:cs="Tahoma"/>
          <w:sz w:val="24"/>
          <w:szCs w:val="24"/>
        </w:rPr>
        <w:t>est</w:t>
      </w:r>
      <w:r w:rsidR="008959A1" w:rsidRPr="00380973">
        <w:rPr>
          <w:rFonts w:ascii="Tahoma" w:hAnsi="Tahoma" w:cs="Tahoma"/>
          <w:sz w:val="24"/>
          <w:szCs w:val="24"/>
        </w:rPr>
        <w:t xml:space="preserve">ão </w:t>
      </w:r>
      <w:r w:rsidR="00D86CD4" w:rsidRPr="00380973">
        <w:rPr>
          <w:rFonts w:ascii="Tahoma" w:hAnsi="Tahoma" w:cs="Tahoma"/>
          <w:sz w:val="24"/>
          <w:szCs w:val="24"/>
        </w:rPr>
        <w:t>prestando um relevante</w:t>
      </w:r>
      <w:r w:rsidR="00BE6E15" w:rsidRPr="00380973">
        <w:rPr>
          <w:rFonts w:ascii="Tahoma" w:hAnsi="Tahoma" w:cs="Tahoma"/>
          <w:sz w:val="24"/>
          <w:szCs w:val="24"/>
        </w:rPr>
        <w:t xml:space="preserve"> serviço</w:t>
      </w:r>
      <w:r w:rsidR="00D86CD4" w:rsidRPr="00380973">
        <w:rPr>
          <w:rFonts w:ascii="Tahoma" w:hAnsi="Tahoma" w:cs="Tahoma"/>
          <w:sz w:val="24"/>
          <w:szCs w:val="24"/>
        </w:rPr>
        <w:t xml:space="preserve"> público,</w:t>
      </w:r>
      <w:r w:rsidR="00657C36" w:rsidRPr="00380973">
        <w:rPr>
          <w:rFonts w:ascii="Tahoma" w:hAnsi="Tahoma" w:cs="Tahoma"/>
          <w:sz w:val="24"/>
          <w:szCs w:val="24"/>
        </w:rPr>
        <w:t xml:space="preserve"> </w:t>
      </w:r>
      <w:r w:rsidR="008959A1" w:rsidRPr="00380973">
        <w:rPr>
          <w:rFonts w:ascii="Tahoma" w:hAnsi="Tahoma" w:cs="Tahoma"/>
          <w:sz w:val="24"/>
          <w:szCs w:val="24"/>
        </w:rPr>
        <w:t xml:space="preserve">pela </w:t>
      </w:r>
      <w:r w:rsidR="00657C36" w:rsidRPr="00380973">
        <w:rPr>
          <w:rFonts w:ascii="Tahoma" w:hAnsi="Tahoma" w:cs="Tahoma"/>
          <w:sz w:val="24"/>
          <w:szCs w:val="24"/>
        </w:rPr>
        <w:t xml:space="preserve">generosidade de </w:t>
      </w:r>
      <w:r w:rsidR="00D86CD4" w:rsidRPr="00380973">
        <w:rPr>
          <w:rFonts w:ascii="Tahoma" w:hAnsi="Tahoma" w:cs="Tahoma"/>
          <w:sz w:val="24"/>
          <w:szCs w:val="24"/>
        </w:rPr>
        <w:t>compartilha</w:t>
      </w:r>
      <w:r w:rsidR="00BE6E15" w:rsidRPr="00380973">
        <w:rPr>
          <w:rFonts w:ascii="Tahoma" w:hAnsi="Tahoma" w:cs="Tahoma"/>
          <w:sz w:val="24"/>
          <w:szCs w:val="24"/>
        </w:rPr>
        <w:t xml:space="preserve">rem </w:t>
      </w:r>
      <w:r w:rsidR="00D86CD4" w:rsidRPr="00380973">
        <w:rPr>
          <w:rFonts w:ascii="Tahoma" w:hAnsi="Tahoma" w:cs="Tahoma"/>
          <w:sz w:val="24"/>
          <w:szCs w:val="24"/>
        </w:rPr>
        <w:t xml:space="preserve">as lições </w:t>
      </w:r>
      <w:r w:rsidR="00BE6E15" w:rsidRPr="00380973">
        <w:rPr>
          <w:rFonts w:ascii="Tahoma" w:hAnsi="Tahoma" w:cs="Tahoma"/>
          <w:sz w:val="24"/>
          <w:szCs w:val="24"/>
        </w:rPr>
        <w:t>aprendidas</w:t>
      </w:r>
      <w:r w:rsidR="003E45C6" w:rsidRPr="00380973">
        <w:rPr>
          <w:rFonts w:ascii="Tahoma" w:hAnsi="Tahoma" w:cs="Tahoma"/>
          <w:sz w:val="24"/>
          <w:szCs w:val="24"/>
        </w:rPr>
        <w:t xml:space="preserve"> em tempo real</w:t>
      </w:r>
      <w:r w:rsidR="00BE6E15" w:rsidRPr="00380973">
        <w:rPr>
          <w:rFonts w:ascii="Tahoma" w:hAnsi="Tahoma" w:cs="Tahoma"/>
          <w:sz w:val="24"/>
          <w:szCs w:val="24"/>
        </w:rPr>
        <w:t>, num cenário de adversidades</w:t>
      </w:r>
      <w:r w:rsidR="003E45C6" w:rsidRPr="00380973">
        <w:rPr>
          <w:rFonts w:ascii="Tahoma" w:hAnsi="Tahoma" w:cs="Tahoma"/>
          <w:sz w:val="24"/>
          <w:szCs w:val="24"/>
        </w:rPr>
        <w:t xml:space="preserve"> e diante do desconhecido</w:t>
      </w:r>
      <w:r w:rsidR="00BE6E15" w:rsidRPr="00380973">
        <w:rPr>
          <w:rFonts w:ascii="Tahoma" w:hAnsi="Tahoma" w:cs="Tahoma"/>
          <w:sz w:val="24"/>
          <w:szCs w:val="24"/>
        </w:rPr>
        <w:t>, permitindo que sejam registradas não apenas para a história, mas para servir de modelo para outros estados</w:t>
      </w:r>
      <w:r w:rsidR="004838DD" w:rsidRPr="00380973">
        <w:rPr>
          <w:rFonts w:ascii="Tahoma" w:hAnsi="Tahoma" w:cs="Tahoma"/>
          <w:sz w:val="24"/>
          <w:szCs w:val="24"/>
        </w:rPr>
        <w:t>, municípios</w:t>
      </w:r>
      <w:r w:rsidR="00BE6E15" w:rsidRPr="00380973">
        <w:rPr>
          <w:rFonts w:ascii="Tahoma" w:hAnsi="Tahoma" w:cs="Tahoma"/>
          <w:sz w:val="24"/>
          <w:szCs w:val="24"/>
        </w:rPr>
        <w:t xml:space="preserve"> e </w:t>
      </w:r>
      <w:r w:rsidRPr="00380973">
        <w:rPr>
          <w:rFonts w:ascii="Tahoma" w:hAnsi="Tahoma" w:cs="Tahoma"/>
          <w:sz w:val="24"/>
          <w:szCs w:val="24"/>
        </w:rPr>
        <w:t xml:space="preserve">outros </w:t>
      </w:r>
      <w:r w:rsidR="00BE6E15" w:rsidRPr="00380973">
        <w:rPr>
          <w:rFonts w:ascii="Tahoma" w:hAnsi="Tahoma" w:cs="Tahoma"/>
          <w:sz w:val="24"/>
          <w:szCs w:val="24"/>
        </w:rPr>
        <w:t xml:space="preserve">países. </w:t>
      </w:r>
    </w:p>
    <w:p w:rsidR="008959A1" w:rsidRPr="00380973" w:rsidRDefault="008959A1" w:rsidP="00380973">
      <w:pPr>
        <w:spacing w:after="0" w:line="276" w:lineRule="auto"/>
        <w:ind w:right="-244"/>
        <w:jc w:val="both"/>
        <w:rPr>
          <w:rFonts w:ascii="Tahoma" w:hAnsi="Tahoma" w:cs="Tahoma"/>
          <w:sz w:val="24"/>
          <w:szCs w:val="24"/>
        </w:rPr>
      </w:pPr>
    </w:p>
    <w:p w:rsidR="00B37144" w:rsidRPr="00380973" w:rsidRDefault="00B07783" w:rsidP="00380973">
      <w:pPr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b/>
          <w:sz w:val="24"/>
          <w:szCs w:val="24"/>
        </w:rPr>
        <w:lastRenderedPageBreak/>
        <w:t xml:space="preserve">PONTOS </w:t>
      </w:r>
      <w:r w:rsidR="00B37144" w:rsidRPr="00380973">
        <w:rPr>
          <w:rFonts w:ascii="Tahoma" w:hAnsi="Tahoma" w:cs="Tahoma"/>
          <w:b/>
          <w:sz w:val="24"/>
          <w:szCs w:val="24"/>
        </w:rPr>
        <w:t>PRINCIPAIS</w:t>
      </w:r>
    </w:p>
    <w:p w:rsidR="00B37144" w:rsidRPr="00380973" w:rsidRDefault="00B37144" w:rsidP="00380973">
      <w:pPr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 xml:space="preserve">1 – garantir a sustentabilidade das ações ofertadas para as </w:t>
      </w:r>
      <w:r w:rsidR="00DD4CCC" w:rsidRPr="00380973">
        <w:rPr>
          <w:rFonts w:ascii="Tahoma" w:hAnsi="Tahoma" w:cs="Tahoma"/>
          <w:sz w:val="24"/>
          <w:szCs w:val="24"/>
        </w:rPr>
        <w:t xml:space="preserve">mulheres gestantes, as </w:t>
      </w:r>
      <w:r w:rsidRPr="00380973">
        <w:rPr>
          <w:rFonts w:ascii="Tahoma" w:hAnsi="Tahoma" w:cs="Tahoma"/>
          <w:sz w:val="24"/>
          <w:szCs w:val="24"/>
        </w:rPr>
        <w:t>famílias e cuidadores de crianças com Síndrome Congênita do Zika virus (SCZv) e outras Deficiências</w:t>
      </w:r>
      <w:r w:rsidR="00B719AB" w:rsidRPr="00380973">
        <w:rPr>
          <w:rFonts w:ascii="Tahoma" w:hAnsi="Tahoma" w:cs="Tahoma"/>
          <w:sz w:val="24"/>
          <w:szCs w:val="24"/>
        </w:rPr>
        <w:t>, no município de Campina Grande, devido aos recursos escassos</w:t>
      </w:r>
      <w:r w:rsidRPr="00380973">
        <w:rPr>
          <w:rFonts w:ascii="Tahoma" w:hAnsi="Tahoma" w:cs="Tahoma"/>
          <w:sz w:val="24"/>
          <w:szCs w:val="24"/>
        </w:rPr>
        <w:t xml:space="preserve">. </w:t>
      </w:r>
    </w:p>
    <w:p w:rsidR="007F7A97" w:rsidRPr="00380973" w:rsidRDefault="00B37144" w:rsidP="00380973">
      <w:pPr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>2 –</w:t>
      </w:r>
      <w:r w:rsidR="00B719AB" w:rsidRPr="00380973">
        <w:rPr>
          <w:rFonts w:ascii="Tahoma" w:hAnsi="Tahoma" w:cs="Tahoma"/>
          <w:sz w:val="24"/>
          <w:szCs w:val="24"/>
        </w:rPr>
        <w:t xml:space="preserve"> apoiar o processo de </w:t>
      </w:r>
      <w:r w:rsidR="00B719AB" w:rsidRPr="00380973">
        <w:rPr>
          <w:rFonts w:ascii="Tahoma" w:hAnsi="Tahoma" w:cs="Tahoma"/>
          <w:sz w:val="24"/>
          <w:szCs w:val="24"/>
          <w:u w:val="single"/>
        </w:rPr>
        <w:t>descentralização</w:t>
      </w:r>
      <w:r w:rsidR="007F7A97" w:rsidRPr="00380973">
        <w:rPr>
          <w:rFonts w:ascii="Tahoma" w:hAnsi="Tahoma" w:cs="Tahoma"/>
          <w:sz w:val="24"/>
          <w:szCs w:val="24"/>
          <w:u w:val="single"/>
        </w:rPr>
        <w:t>/regionalização</w:t>
      </w:r>
      <w:r w:rsidR="00B719AB" w:rsidRPr="00380973">
        <w:rPr>
          <w:rFonts w:ascii="Tahoma" w:hAnsi="Tahoma" w:cs="Tahoma"/>
          <w:sz w:val="24"/>
          <w:szCs w:val="24"/>
        </w:rPr>
        <w:t xml:space="preserve"> da atenção à saúde voltado para às gestantes, às famílias e aos cuidadores de crianças com Síndrome Congênita do Zika vírus e outras deficiências, </w:t>
      </w:r>
    </w:p>
    <w:p w:rsidR="00B37144" w:rsidRPr="00380973" w:rsidRDefault="00B37144" w:rsidP="00380973">
      <w:pPr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 xml:space="preserve">3 -  </w:t>
      </w:r>
      <w:r w:rsidR="00B719AB" w:rsidRPr="00380973">
        <w:rPr>
          <w:rFonts w:ascii="Tahoma" w:hAnsi="Tahoma" w:cs="Tahoma"/>
          <w:sz w:val="24"/>
          <w:szCs w:val="24"/>
        </w:rPr>
        <w:t>reafirmar os direitos de pessoas com deficiências, especialmente as crianças, a partir das lições aprendidas com a SCZv, não apenas no acesso, mas na qualidade de atenção à saúde, à c</w:t>
      </w:r>
      <w:r w:rsidR="00B07783" w:rsidRPr="00380973">
        <w:rPr>
          <w:rFonts w:ascii="Tahoma" w:hAnsi="Tahoma" w:cs="Tahoma"/>
          <w:sz w:val="24"/>
          <w:szCs w:val="24"/>
        </w:rPr>
        <w:t>reche e pré-escola de qualidade, e a proteção social.</w:t>
      </w:r>
      <w:r w:rsidR="00B719AB" w:rsidRPr="00380973">
        <w:rPr>
          <w:rFonts w:ascii="Tahoma" w:hAnsi="Tahoma" w:cs="Tahoma"/>
          <w:sz w:val="24"/>
          <w:szCs w:val="24"/>
        </w:rPr>
        <w:t xml:space="preserve">   </w:t>
      </w:r>
    </w:p>
    <w:p w:rsidR="00B37144" w:rsidRPr="00380973" w:rsidRDefault="00B37144" w:rsidP="00380973">
      <w:pPr>
        <w:ind w:right="-244"/>
        <w:jc w:val="both"/>
        <w:rPr>
          <w:rFonts w:ascii="Tahoma" w:hAnsi="Tahoma" w:cs="Tahoma"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 xml:space="preserve">4 </w:t>
      </w:r>
      <w:r w:rsidR="00B719AB" w:rsidRPr="00380973">
        <w:rPr>
          <w:rFonts w:ascii="Tahoma" w:hAnsi="Tahoma" w:cs="Tahoma"/>
          <w:sz w:val="24"/>
          <w:szCs w:val="24"/>
        </w:rPr>
        <w:t>–</w:t>
      </w:r>
      <w:r w:rsidRPr="00380973">
        <w:rPr>
          <w:rFonts w:ascii="Tahoma" w:hAnsi="Tahoma" w:cs="Tahoma"/>
          <w:sz w:val="24"/>
          <w:szCs w:val="24"/>
        </w:rPr>
        <w:t xml:space="preserve"> </w:t>
      </w:r>
      <w:r w:rsidR="00B719AB" w:rsidRPr="00380973">
        <w:rPr>
          <w:rFonts w:ascii="Tahoma" w:hAnsi="Tahoma" w:cs="Tahoma"/>
          <w:sz w:val="24"/>
          <w:szCs w:val="24"/>
        </w:rPr>
        <w:t xml:space="preserve">adotar com medida permanente </w:t>
      </w:r>
      <w:r w:rsidRPr="00380973">
        <w:rPr>
          <w:rFonts w:ascii="Tahoma" w:hAnsi="Tahoma" w:cs="Tahoma"/>
          <w:sz w:val="24"/>
          <w:szCs w:val="24"/>
        </w:rPr>
        <w:t xml:space="preserve">a prevenção ao Aedes aegypti,  </w:t>
      </w:r>
    </w:p>
    <w:p w:rsidR="00B37144" w:rsidRPr="00380973" w:rsidRDefault="00B37144" w:rsidP="00380973">
      <w:pPr>
        <w:ind w:right="-244"/>
        <w:jc w:val="both"/>
        <w:rPr>
          <w:rFonts w:ascii="Tahoma" w:hAnsi="Tahoma" w:cs="Tahoma"/>
          <w:b/>
          <w:sz w:val="24"/>
          <w:szCs w:val="24"/>
        </w:rPr>
      </w:pPr>
      <w:r w:rsidRPr="00380973">
        <w:rPr>
          <w:rFonts w:ascii="Tahoma" w:hAnsi="Tahoma" w:cs="Tahoma"/>
          <w:sz w:val="24"/>
          <w:szCs w:val="24"/>
        </w:rPr>
        <w:t xml:space="preserve">5 - </w:t>
      </w:r>
      <w:r w:rsidR="00B719AB" w:rsidRPr="00380973">
        <w:rPr>
          <w:rFonts w:ascii="Tahoma" w:hAnsi="Tahoma" w:cs="Tahoma"/>
          <w:sz w:val="24"/>
          <w:szCs w:val="24"/>
        </w:rPr>
        <w:t>eleger</w:t>
      </w:r>
      <w:r w:rsidRPr="00380973">
        <w:rPr>
          <w:rFonts w:ascii="Tahoma" w:hAnsi="Tahoma" w:cs="Tahoma"/>
          <w:sz w:val="24"/>
          <w:szCs w:val="24"/>
        </w:rPr>
        <w:t xml:space="preserve"> medidas de ações afirmativas para prevenir o estigma e a descriminação dessas crianças</w:t>
      </w:r>
      <w:r w:rsidRPr="00380973">
        <w:rPr>
          <w:rFonts w:ascii="Tahoma" w:hAnsi="Tahoma" w:cs="Tahoma"/>
          <w:b/>
          <w:sz w:val="24"/>
          <w:szCs w:val="24"/>
        </w:rPr>
        <w:t xml:space="preserve"> e suas famílias, no ambiente escolar e comunitário.</w:t>
      </w:r>
    </w:p>
    <w:p w:rsidR="00EA45AF" w:rsidRPr="00380973" w:rsidRDefault="00EA45AF" w:rsidP="00380973">
      <w:pPr>
        <w:ind w:right="-244"/>
        <w:jc w:val="both"/>
        <w:rPr>
          <w:rFonts w:ascii="Tahoma" w:eastAsia="Calibri" w:hAnsi="Tahoma" w:cs="Tahoma"/>
          <w:sz w:val="24"/>
          <w:szCs w:val="24"/>
        </w:rPr>
      </w:pPr>
      <w:r w:rsidRPr="00380973">
        <w:rPr>
          <w:rFonts w:ascii="Tahoma" w:eastAsia="Calibri" w:hAnsi="Tahoma" w:cs="Tahoma"/>
          <w:b/>
          <w:sz w:val="24"/>
          <w:szCs w:val="24"/>
        </w:rPr>
        <w:t>Resultados de processo: o</w:t>
      </w:r>
      <w:r w:rsidRPr="00380973">
        <w:rPr>
          <w:rFonts w:ascii="Tahoma" w:eastAsia="Calibri" w:hAnsi="Tahoma" w:cs="Tahoma"/>
          <w:sz w:val="24"/>
          <w:szCs w:val="24"/>
        </w:rPr>
        <w:t xml:space="preserve"> município de Recife- PE já assumiu a coordenação </w:t>
      </w:r>
      <w:r w:rsidR="00325C0A" w:rsidRPr="00380973">
        <w:rPr>
          <w:rFonts w:ascii="Tahoma" w:eastAsia="Calibri" w:hAnsi="Tahoma" w:cs="Tahoma"/>
          <w:sz w:val="24"/>
          <w:szCs w:val="24"/>
        </w:rPr>
        <w:t xml:space="preserve">do processo de implementação do projeto com a </w:t>
      </w:r>
      <w:r w:rsidRPr="00380973">
        <w:rPr>
          <w:rFonts w:ascii="Tahoma" w:eastAsia="Calibri" w:hAnsi="Tahoma" w:cs="Tahoma"/>
          <w:sz w:val="24"/>
          <w:szCs w:val="24"/>
        </w:rPr>
        <w:t>estrutur</w:t>
      </w:r>
      <w:r w:rsidR="00325C0A" w:rsidRPr="00380973">
        <w:rPr>
          <w:rFonts w:ascii="Tahoma" w:eastAsia="Calibri" w:hAnsi="Tahoma" w:cs="Tahoma"/>
          <w:sz w:val="24"/>
          <w:szCs w:val="24"/>
        </w:rPr>
        <w:t>ação d</w:t>
      </w:r>
      <w:r w:rsidRPr="00380973">
        <w:rPr>
          <w:rFonts w:ascii="Tahoma" w:eastAsia="Calibri" w:hAnsi="Tahoma" w:cs="Tahoma"/>
          <w:sz w:val="24"/>
          <w:szCs w:val="24"/>
        </w:rPr>
        <w:t>o comitê intersetorial do Redes de Inclusão</w:t>
      </w:r>
      <w:r w:rsidR="00325C0A" w:rsidRPr="00380973">
        <w:rPr>
          <w:rFonts w:ascii="Tahoma" w:eastAsia="Calibri" w:hAnsi="Tahoma" w:cs="Tahoma"/>
          <w:sz w:val="24"/>
          <w:szCs w:val="24"/>
        </w:rPr>
        <w:t xml:space="preserve">. </w:t>
      </w:r>
      <w:r w:rsidRPr="00380973">
        <w:rPr>
          <w:rFonts w:ascii="Tahoma" w:eastAsia="Calibri" w:hAnsi="Tahoma" w:cs="Tahoma"/>
          <w:sz w:val="24"/>
          <w:szCs w:val="24"/>
        </w:rPr>
        <w:t>E</w:t>
      </w:r>
      <w:r w:rsidR="00B719AB" w:rsidRPr="00380973">
        <w:rPr>
          <w:rFonts w:ascii="Tahoma" w:eastAsia="Calibri" w:hAnsi="Tahoma" w:cs="Tahoma"/>
          <w:sz w:val="24"/>
          <w:szCs w:val="24"/>
        </w:rPr>
        <w:t xml:space="preserve">, </w:t>
      </w:r>
      <w:r w:rsidR="00325C0A" w:rsidRPr="00380973">
        <w:rPr>
          <w:rFonts w:ascii="Tahoma" w:eastAsia="Calibri" w:hAnsi="Tahoma" w:cs="Tahoma"/>
          <w:sz w:val="24"/>
          <w:szCs w:val="24"/>
        </w:rPr>
        <w:t>o município de C</w:t>
      </w:r>
      <w:r w:rsidRPr="00380973">
        <w:rPr>
          <w:rFonts w:ascii="Tahoma" w:eastAsia="Calibri" w:hAnsi="Tahoma" w:cs="Tahoma"/>
          <w:sz w:val="24"/>
          <w:szCs w:val="24"/>
        </w:rPr>
        <w:t xml:space="preserve">ampina Grande </w:t>
      </w:r>
      <w:r w:rsidR="00325C0A" w:rsidRPr="00380973">
        <w:rPr>
          <w:rFonts w:ascii="Tahoma" w:eastAsia="Calibri" w:hAnsi="Tahoma" w:cs="Tahoma"/>
          <w:sz w:val="24"/>
          <w:szCs w:val="24"/>
        </w:rPr>
        <w:t>–</w:t>
      </w:r>
      <w:r w:rsidRPr="00380973">
        <w:rPr>
          <w:rFonts w:ascii="Tahoma" w:eastAsia="Calibri" w:hAnsi="Tahoma" w:cs="Tahoma"/>
          <w:sz w:val="24"/>
          <w:szCs w:val="24"/>
        </w:rPr>
        <w:t xml:space="preserve"> </w:t>
      </w:r>
      <w:r w:rsidR="00325C0A" w:rsidRPr="00380973">
        <w:rPr>
          <w:rFonts w:ascii="Tahoma" w:eastAsia="Calibri" w:hAnsi="Tahoma" w:cs="Tahoma"/>
          <w:sz w:val="24"/>
          <w:szCs w:val="24"/>
        </w:rPr>
        <w:t>PB</w:t>
      </w:r>
      <w:r w:rsidR="00B719AB" w:rsidRPr="00380973">
        <w:rPr>
          <w:rFonts w:ascii="Tahoma" w:eastAsia="Calibri" w:hAnsi="Tahoma" w:cs="Tahoma"/>
          <w:sz w:val="24"/>
          <w:szCs w:val="24"/>
        </w:rPr>
        <w:t>,</w:t>
      </w:r>
      <w:r w:rsidR="00325C0A" w:rsidRPr="00380973">
        <w:rPr>
          <w:rFonts w:ascii="Tahoma" w:eastAsia="Calibri" w:hAnsi="Tahoma" w:cs="Tahoma"/>
          <w:sz w:val="24"/>
          <w:szCs w:val="24"/>
        </w:rPr>
        <w:t xml:space="preserve"> </w:t>
      </w:r>
      <w:r w:rsidR="00B719AB" w:rsidRPr="00380973">
        <w:rPr>
          <w:rFonts w:ascii="Tahoma" w:eastAsia="Calibri" w:hAnsi="Tahoma" w:cs="Tahoma"/>
          <w:sz w:val="24"/>
          <w:szCs w:val="24"/>
        </w:rPr>
        <w:t>assumirá o mesmo papel, após a roda de diálogo com os gestores.</w:t>
      </w:r>
      <w:r w:rsidR="00325C0A" w:rsidRPr="00380973">
        <w:rPr>
          <w:rFonts w:ascii="Tahoma" w:eastAsia="Calibri" w:hAnsi="Tahoma" w:cs="Tahoma"/>
          <w:sz w:val="24"/>
          <w:szCs w:val="24"/>
        </w:rPr>
        <w:t xml:space="preserve"> </w:t>
      </w:r>
    </w:p>
    <w:p w:rsidR="0087692E" w:rsidRPr="00380973" w:rsidRDefault="0087692E" w:rsidP="00380973">
      <w:pPr>
        <w:ind w:right="-244"/>
        <w:jc w:val="both"/>
        <w:rPr>
          <w:rFonts w:ascii="Tahoma" w:hAnsi="Tahoma" w:cs="Tahoma"/>
          <w:sz w:val="24"/>
          <w:szCs w:val="24"/>
        </w:rPr>
      </w:pPr>
    </w:p>
    <w:sectPr w:rsidR="0087692E" w:rsidRPr="00380973" w:rsidSect="00B719AB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CC" w:rsidRDefault="000168CC" w:rsidP="000509A2">
      <w:pPr>
        <w:spacing w:after="0" w:line="240" w:lineRule="auto"/>
      </w:pPr>
      <w:r>
        <w:separator/>
      </w:r>
    </w:p>
  </w:endnote>
  <w:endnote w:type="continuationSeparator" w:id="0">
    <w:p w:rsidR="000168CC" w:rsidRDefault="000168CC" w:rsidP="0005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CC" w:rsidRDefault="000168CC" w:rsidP="000509A2">
      <w:pPr>
        <w:spacing w:after="0" w:line="240" w:lineRule="auto"/>
      </w:pPr>
      <w:r>
        <w:separator/>
      </w:r>
    </w:p>
  </w:footnote>
  <w:footnote w:type="continuationSeparator" w:id="0">
    <w:p w:rsidR="000168CC" w:rsidRDefault="000168CC" w:rsidP="0005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115A0"/>
    <w:multiLevelType w:val="hybridMultilevel"/>
    <w:tmpl w:val="AAB0A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E677C"/>
    <w:multiLevelType w:val="hybridMultilevel"/>
    <w:tmpl w:val="1A465C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A2"/>
    <w:rsid w:val="000041B6"/>
    <w:rsid w:val="000168CC"/>
    <w:rsid w:val="000378B1"/>
    <w:rsid w:val="000509A2"/>
    <w:rsid w:val="000F253C"/>
    <w:rsid w:val="0016541F"/>
    <w:rsid w:val="001C4EA1"/>
    <w:rsid w:val="001F190B"/>
    <w:rsid w:val="001F5E70"/>
    <w:rsid w:val="00285AA5"/>
    <w:rsid w:val="002920EB"/>
    <w:rsid w:val="002D4247"/>
    <w:rsid w:val="002E0365"/>
    <w:rsid w:val="002F765A"/>
    <w:rsid w:val="00325C0A"/>
    <w:rsid w:val="00380973"/>
    <w:rsid w:val="003D288D"/>
    <w:rsid w:val="003E45C6"/>
    <w:rsid w:val="003F2E07"/>
    <w:rsid w:val="00405BFF"/>
    <w:rsid w:val="00407EBA"/>
    <w:rsid w:val="004125E5"/>
    <w:rsid w:val="00477B53"/>
    <w:rsid w:val="00482E6D"/>
    <w:rsid w:val="004838DD"/>
    <w:rsid w:val="004D5240"/>
    <w:rsid w:val="0055395D"/>
    <w:rsid w:val="005706A8"/>
    <w:rsid w:val="005954C0"/>
    <w:rsid w:val="00596DD8"/>
    <w:rsid w:val="005E4D04"/>
    <w:rsid w:val="00657C36"/>
    <w:rsid w:val="00677032"/>
    <w:rsid w:val="0068733C"/>
    <w:rsid w:val="006B0512"/>
    <w:rsid w:val="006B39A9"/>
    <w:rsid w:val="006C1EE5"/>
    <w:rsid w:val="006E2D85"/>
    <w:rsid w:val="006F6DC4"/>
    <w:rsid w:val="00722C54"/>
    <w:rsid w:val="00771AEA"/>
    <w:rsid w:val="007B5255"/>
    <w:rsid w:val="007F7A97"/>
    <w:rsid w:val="00844BC1"/>
    <w:rsid w:val="00860021"/>
    <w:rsid w:val="0087692E"/>
    <w:rsid w:val="008959A1"/>
    <w:rsid w:val="0094741C"/>
    <w:rsid w:val="00952D65"/>
    <w:rsid w:val="00A66DCD"/>
    <w:rsid w:val="00AC559D"/>
    <w:rsid w:val="00AE24E8"/>
    <w:rsid w:val="00B07783"/>
    <w:rsid w:val="00B32C1C"/>
    <w:rsid w:val="00B37144"/>
    <w:rsid w:val="00B719AB"/>
    <w:rsid w:val="00BB3DF5"/>
    <w:rsid w:val="00BE6E15"/>
    <w:rsid w:val="00CE1555"/>
    <w:rsid w:val="00CF7FBD"/>
    <w:rsid w:val="00D117A7"/>
    <w:rsid w:val="00D44CF7"/>
    <w:rsid w:val="00D86CD4"/>
    <w:rsid w:val="00DA6BE3"/>
    <w:rsid w:val="00DD4CCC"/>
    <w:rsid w:val="00E8262A"/>
    <w:rsid w:val="00EA45AF"/>
    <w:rsid w:val="00EF7732"/>
    <w:rsid w:val="00F20A84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C0E22-C466-4B42-B4ED-9DE3D801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A2"/>
  </w:style>
  <w:style w:type="paragraph" w:styleId="Footer">
    <w:name w:val="footer"/>
    <w:basedOn w:val="Normal"/>
    <w:link w:val="FooterChar"/>
    <w:uiPriority w:val="99"/>
    <w:unhideWhenUsed/>
    <w:rsid w:val="00050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A2"/>
  </w:style>
  <w:style w:type="table" w:styleId="TableGrid">
    <w:name w:val="Table Grid"/>
    <w:basedOn w:val="TableNormal"/>
    <w:uiPriority w:val="39"/>
    <w:rsid w:val="0057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EBA"/>
    <w:pPr>
      <w:ind w:left="720"/>
      <w:contextualSpacing/>
    </w:pPr>
  </w:style>
  <w:style w:type="paragraph" w:styleId="NormalWeb">
    <w:name w:val="Normal (Web)"/>
    <w:basedOn w:val="Normal"/>
    <w:uiPriority w:val="99"/>
    <w:rsid w:val="00D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4AE2-0305-44CB-8640-E98298D0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Magalhaes</dc:creator>
  <cp:keywords/>
  <dc:description/>
  <cp:lastModifiedBy>Jane Santos</cp:lastModifiedBy>
  <cp:revision>2</cp:revision>
  <cp:lastPrinted>2016-10-26T12:33:00Z</cp:lastPrinted>
  <dcterms:created xsi:type="dcterms:W3CDTF">2016-10-26T12:41:00Z</dcterms:created>
  <dcterms:modified xsi:type="dcterms:W3CDTF">2016-10-26T12:41:00Z</dcterms:modified>
</cp:coreProperties>
</file>