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6DB05" w14:textId="77777777" w:rsidR="007D46C5" w:rsidRPr="0024424A" w:rsidRDefault="007D46C5" w:rsidP="00B31214">
      <w:pPr>
        <w:tabs>
          <w:tab w:val="right" w:pos="8280"/>
        </w:tabs>
        <w:ind w:right="-22"/>
        <w:jc w:val="left"/>
        <w:rPr>
          <w:rFonts w:ascii="Verdana" w:hAnsi="Verdana"/>
          <w:caps/>
          <w:sz w:val="20"/>
          <w:lang w:val="en-GB"/>
        </w:rPr>
      </w:pPr>
    </w:p>
    <w:p w14:paraId="6906DB06" w14:textId="77777777" w:rsidR="00A50808" w:rsidRPr="0024424A" w:rsidRDefault="00A50808" w:rsidP="00B31214">
      <w:pPr>
        <w:tabs>
          <w:tab w:val="right" w:pos="8280"/>
        </w:tabs>
        <w:ind w:right="-22"/>
        <w:jc w:val="left"/>
        <w:rPr>
          <w:rFonts w:ascii="Verdana" w:hAnsi="Verdana"/>
          <w:caps/>
          <w:sz w:val="20"/>
          <w:lang w:val="en-GB"/>
        </w:rPr>
      </w:pPr>
    </w:p>
    <w:p w14:paraId="6906DB07" w14:textId="77777777" w:rsidR="00AE7C03" w:rsidRPr="0024424A" w:rsidRDefault="00AE7C03" w:rsidP="00B31214">
      <w:pPr>
        <w:tabs>
          <w:tab w:val="right" w:pos="8280"/>
        </w:tabs>
        <w:ind w:right="-22"/>
        <w:jc w:val="left"/>
        <w:rPr>
          <w:rFonts w:ascii="Verdana" w:hAnsi="Verdana"/>
          <w:caps/>
          <w:sz w:val="20"/>
          <w:lang w:val="en-GB"/>
        </w:rPr>
      </w:pPr>
    </w:p>
    <w:p w14:paraId="6906DB08" w14:textId="77777777" w:rsidR="00910BEB" w:rsidRPr="0024424A" w:rsidRDefault="00910BEB" w:rsidP="009B6318">
      <w:pPr>
        <w:tabs>
          <w:tab w:val="right" w:pos="8280"/>
        </w:tabs>
        <w:ind w:right="-22"/>
        <w:jc w:val="left"/>
        <w:rPr>
          <w:rFonts w:ascii="Verdana" w:hAnsi="Verdana"/>
          <w:caps/>
          <w:sz w:val="20"/>
          <w:lang w:val="en-GB"/>
        </w:rPr>
      </w:pPr>
    </w:p>
    <w:tbl>
      <w:tblPr>
        <w:tblpPr w:leftFromText="180" w:rightFromText="180" w:vertAnchor="page" w:horzAnchor="margin" w:tblpY="5091"/>
        <w:tblW w:w="9190" w:type="dxa"/>
        <w:tblLayout w:type="fixed"/>
        <w:tblCellMar>
          <w:left w:w="28" w:type="dxa"/>
          <w:right w:w="28" w:type="dxa"/>
        </w:tblCellMar>
        <w:tblLook w:val="0000" w:firstRow="0" w:lastRow="0" w:firstColumn="0" w:lastColumn="0" w:noHBand="0" w:noVBand="0"/>
      </w:tblPr>
      <w:tblGrid>
        <w:gridCol w:w="9190"/>
      </w:tblGrid>
      <w:tr w:rsidR="0012020F" w:rsidRPr="00F32E15" w14:paraId="4B77F0CF" w14:textId="77777777" w:rsidTr="0012020F">
        <w:trPr>
          <w:cantSplit/>
          <w:trHeight w:val="1691"/>
        </w:trPr>
        <w:tc>
          <w:tcPr>
            <w:tcW w:w="9190" w:type="dxa"/>
          </w:tcPr>
          <w:p w14:paraId="3302E2A3" w14:textId="77777777" w:rsidR="0012020F" w:rsidRPr="0024424A" w:rsidRDefault="0012020F" w:rsidP="0012020F">
            <w:pPr>
              <w:pStyle w:val="DocumentSubtitle"/>
              <w:rPr>
                <w:b/>
                <w:bCs/>
                <w:szCs w:val="32"/>
              </w:rPr>
            </w:pPr>
            <w:r w:rsidRPr="0024424A">
              <w:rPr>
                <w:b/>
                <w:bCs/>
                <w:szCs w:val="32"/>
              </w:rPr>
              <w:t>Independent national experts network in the area of adult education/adult skills</w:t>
            </w:r>
          </w:p>
          <w:p w14:paraId="10BD5BD0" w14:textId="77777777" w:rsidR="0012020F" w:rsidRPr="0024424A" w:rsidRDefault="0012020F" w:rsidP="0012020F">
            <w:pPr>
              <w:pStyle w:val="DocumentSubtitle"/>
              <w:rPr>
                <w:b/>
                <w:bCs/>
                <w:sz w:val="52"/>
                <w:szCs w:val="52"/>
              </w:rPr>
            </w:pPr>
          </w:p>
        </w:tc>
      </w:tr>
    </w:tbl>
    <w:p w14:paraId="6906DB0C" w14:textId="77777777" w:rsidR="00696241" w:rsidRPr="0024424A" w:rsidRDefault="00696241" w:rsidP="005E2993">
      <w:pPr>
        <w:pStyle w:val="DocumentSubtitle"/>
        <w:jc w:val="both"/>
      </w:pPr>
    </w:p>
    <w:p w14:paraId="6906DB0E" w14:textId="1852021A" w:rsidR="00E15F27" w:rsidRPr="0024424A" w:rsidRDefault="0012020F" w:rsidP="0012020F">
      <w:pPr>
        <w:pStyle w:val="DocumentSubtitle"/>
        <w:tabs>
          <w:tab w:val="left" w:pos="4536"/>
        </w:tabs>
        <w:rPr>
          <w:b/>
        </w:rPr>
      </w:pPr>
      <w:r w:rsidRPr="0024424A">
        <w:rPr>
          <w:b/>
        </w:rPr>
        <w:t xml:space="preserve">Full Country Report - </w:t>
      </w:r>
      <w:r w:rsidR="008611F2">
        <w:rPr>
          <w:b/>
        </w:rPr>
        <w:t>Portugal</w:t>
      </w:r>
    </w:p>
    <w:p w14:paraId="6906DB0F" w14:textId="77777777" w:rsidR="00E15F27" w:rsidRPr="0024424A" w:rsidRDefault="00E15F27" w:rsidP="00BE55E6">
      <w:pPr>
        <w:pStyle w:val="DocumentSubtitle"/>
        <w:tabs>
          <w:tab w:val="left" w:pos="4536"/>
        </w:tabs>
      </w:pPr>
    </w:p>
    <w:p w14:paraId="6906DB10" w14:textId="77777777" w:rsidR="00E15F27" w:rsidRPr="0024424A" w:rsidRDefault="00E15F27" w:rsidP="00E15F27">
      <w:pPr>
        <w:pStyle w:val="DocumentSubtitle"/>
        <w:tabs>
          <w:tab w:val="left" w:pos="4536"/>
        </w:tabs>
        <w:jc w:val="left"/>
      </w:pPr>
    </w:p>
    <w:p w14:paraId="6906DB11" w14:textId="77777777" w:rsidR="00E15F27" w:rsidRPr="0024424A" w:rsidRDefault="00E15F27" w:rsidP="00E15F27">
      <w:pPr>
        <w:pStyle w:val="DocumentSubtitle"/>
        <w:tabs>
          <w:tab w:val="left" w:pos="4536"/>
        </w:tabs>
        <w:jc w:val="left"/>
      </w:pPr>
    </w:p>
    <w:p w14:paraId="6906DB12" w14:textId="77777777" w:rsidR="00E15F27" w:rsidRPr="0024424A" w:rsidRDefault="00E15F27" w:rsidP="00E15F27">
      <w:pPr>
        <w:pStyle w:val="DocumentSubtitle"/>
        <w:tabs>
          <w:tab w:val="left" w:pos="4536"/>
        </w:tabs>
        <w:jc w:val="left"/>
      </w:pPr>
    </w:p>
    <w:p w14:paraId="6906DB13" w14:textId="77777777" w:rsidR="00E15F27" w:rsidRPr="0024424A" w:rsidRDefault="00E15F27" w:rsidP="00E15F27">
      <w:pPr>
        <w:pStyle w:val="DocumentSubtitle"/>
        <w:tabs>
          <w:tab w:val="left" w:pos="4536"/>
        </w:tabs>
        <w:jc w:val="left"/>
      </w:pPr>
    </w:p>
    <w:p w14:paraId="6906DB14" w14:textId="77777777" w:rsidR="00E15F27" w:rsidRPr="0024424A" w:rsidRDefault="00E15F27" w:rsidP="00E15F27">
      <w:pPr>
        <w:pStyle w:val="DocumentSubtitle"/>
        <w:tabs>
          <w:tab w:val="left" w:pos="4536"/>
        </w:tabs>
        <w:jc w:val="left"/>
      </w:pPr>
    </w:p>
    <w:p w14:paraId="6906DB15" w14:textId="77777777" w:rsidR="00E15F27" w:rsidRPr="0024424A" w:rsidRDefault="00E15F27" w:rsidP="00E15F27">
      <w:pPr>
        <w:pStyle w:val="DocumentSubtitle"/>
        <w:tabs>
          <w:tab w:val="left" w:pos="4536"/>
        </w:tabs>
        <w:jc w:val="left"/>
      </w:pPr>
    </w:p>
    <w:p w14:paraId="6906DB16" w14:textId="77777777" w:rsidR="00E15F27" w:rsidRPr="0024424A" w:rsidRDefault="00E15F27" w:rsidP="00E15F27">
      <w:pPr>
        <w:pStyle w:val="DocumentSubtitle"/>
        <w:tabs>
          <w:tab w:val="left" w:pos="4536"/>
        </w:tabs>
        <w:jc w:val="left"/>
      </w:pPr>
    </w:p>
    <w:p w14:paraId="6906DB17" w14:textId="3DA67038" w:rsidR="00E15F27" w:rsidRPr="0024424A" w:rsidRDefault="00E15F27" w:rsidP="00E15F27">
      <w:pPr>
        <w:pStyle w:val="DocumentSubtitle"/>
        <w:tabs>
          <w:tab w:val="left" w:pos="4536"/>
        </w:tabs>
        <w:jc w:val="left"/>
      </w:pPr>
    </w:p>
    <w:p w14:paraId="6906DB18" w14:textId="576FF1FB" w:rsidR="00E15F27" w:rsidRPr="0024424A" w:rsidRDefault="00F32E15" w:rsidP="00E15F27">
      <w:pPr>
        <w:pStyle w:val="DocumentSubtitle"/>
        <w:tabs>
          <w:tab w:val="left" w:pos="4536"/>
        </w:tabs>
        <w:jc w:val="left"/>
        <w:rPr>
          <w:b/>
          <w:i/>
          <w:sz w:val="24"/>
          <w:szCs w:val="24"/>
        </w:rPr>
        <w:sectPr w:rsidR="00E15F27" w:rsidRPr="0024424A" w:rsidSect="00892A92">
          <w:headerReference w:type="default" r:id="rId11"/>
          <w:footerReference w:type="default" r:id="rId12"/>
          <w:headerReference w:type="first" r:id="rId13"/>
          <w:footerReference w:type="first" r:id="rId14"/>
          <w:pgSz w:w="11907" w:h="16839" w:code="9"/>
          <w:pgMar w:top="851" w:right="1418" w:bottom="851" w:left="1418" w:header="567" w:footer="947" w:gutter="0"/>
          <w:cols w:space="720"/>
          <w:titlePg/>
          <w:docGrid w:linePitch="326"/>
        </w:sectPr>
      </w:pPr>
      <w:r w:rsidRPr="00C45B27">
        <w:rPr>
          <w:rFonts w:ascii="Times New Roman" w:hAnsi="Times New Roman"/>
          <w:noProof/>
          <w:sz w:val="24"/>
          <w:szCs w:val="24"/>
          <w:lang w:eastAsia="en-GB"/>
        </w:rPr>
        <w:drawing>
          <wp:anchor distT="0" distB="0" distL="114300" distR="114300" simplePos="0" relativeHeight="251659264" behindDoc="0" locked="0" layoutInCell="1" allowOverlap="0" wp14:anchorId="7CA30418" wp14:editId="46062388">
            <wp:simplePos x="0" y="0"/>
            <wp:positionH relativeFrom="margin">
              <wp:posOffset>4953000</wp:posOffset>
            </wp:positionH>
            <wp:positionV relativeFrom="paragraph">
              <wp:posOffset>904240</wp:posOffset>
            </wp:positionV>
            <wp:extent cx="838200" cy="314325"/>
            <wp:effectExtent l="0" t="0" r="0" b="9525"/>
            <wp:wrapNone/>
            <wp:docPr id="1" name="Picture 1" descr="ECORYS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ECORYS U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314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06DB19" w14:textId="77777777" w:rsidR="006B26AA" w:rsidRPr="0024424A" w:rsidRDefault="006B26AA" w:rsidP="006B26AA">
      <w:pPr>
        <w:rPr>
          <w:rFonts w:ascii="Verdana" w:hAnsi="Verdana"/>
          <w:lang w:val="en-GB"/>
        </w:rPr>
      </w:pPr>
    </w:p>
    <w:p w14:paraId="6906DB1A" w14:textId="77777777" w:rsidR="0096722A" w:rsidRPr="0024424A" w:rsidRDefault="0096722A" w:rsidP="006B26AA">
      <w:pPr>
        <w:rPr>
          <w:rFonts w:ascii="Verdana" w:hAnsi="Verdana"/>
          <w:lang w:val="en-GB"/>
        </w:rPr>
      </w:pPr>
    </w:p>
    <w:p w14:paraId="6906DB1B" w14:textId="77777777" w:rsidR="0096722A" w:rsidRPr="0024424A" w:rsidRDefault="0096722A" w:rsidP="006B26AA">
      <w:pPr>
        <w:rPr>
          <w:rFonts w:ascii="Verdana" w:hAnsi="Verdana"/>
          <w:lang w:val="en-GB"/>
        </w:rPr>
      </w:pPr>
    </w:p>
    <w:p w14:paraId="6906DB1C" w14:textId="77777777" w:rsidR="0096722A" w:rsidRPr="0024424A" w:rsidRDefault="0096722A" w:rsidP="006B26AA">
      <w:pPr>
        <w:rPr>
          <w:rFonts w:ascii="Verdana" w:hAnsi="Verdana"/>
          <w:lang w:val="en-GB"/>
        </w:rPr>
      </w:pPr>
    </w:p>
    <w:p w14:paraId="6906DB1D" w14:textId="77777777" w:rsidR="0096722A" w:rsidRPr="0024424A" w:rsidRDefault="0096722A" w:rsidP="006B26AA">
      <w:pPr>
        <w:rPr>
          <w:rFonts w:ascii="Verdana" w:hAnsi="Verdana"/>
          <w:lang w:val="en-GB"/>
        </w:rPr>
      </w:pPr>
    </w:p>
    <w:p w14:paraId="6906DB1E" w14:textId="77777777" w:rsidR="006B26AA" w:rsidRPr="0024424A" w:rsidRDefault="006B26AA" w:rsidP="006B26AA">
      <w:pPr>
        <w:rPr>
          <w:rFonts w:ascii="Verdana" w:hAnsi="Verdana"/>
          <w:lang w:val="en-GB"/>
        </w:rPr>
      </w:pPr>
    </w:p>
    <w:p w14:paraId="6906DB1F" w14:textId="77777777" w:rsidR="006B26AA" w:rsidRPr="0024424A" w:rsidRDefault="006B26AA" w:rsidP="006B26AA">
      <w:pPr>
        <w:rPr>
          <w:rFonts w:ascii="Verdana" w:hAnsi="Verdana"/>
          <w:lang w:val="en-GB"/>
        </w:rPr>
      </w:pPr>
    </w:p>
    <w:p w14:paraId="6906DB20" w14:textId="77777777" w:rsidR="006B26AA" w:rsidRPr="0024424A" w:rsidRDefault="006B26AA" w:rsidP="006B26AA">
      <w:pPr>
        <w:rPr>
          <w:rFonts w:ascii="Verdana" w:hAnsi="Verdana"/>
          <w:lang w:val="en-GB"/>
        </w:rPr>
      </w:pPr>
    </w:p>
    <w:p w14:paraId="6906DB21" w14:textId="77777777" w:rsidR="006B26AA" w:rsidRPr="0024424A" w:rsidRDefault="006B26AA" w:rsidP="006B26AA">
      <w:pPr>
        <w:rPr>
          <w:rFonts w:ascii="Verdana" w:hAnsi="Verdana"/>
          <w:lang w:val="en-GB"/>
        </w:rPr>
      </w:pPr>
    </w:p>
    <w:p w14:paraId="6906DB22" w14:textId="77777777" w:rsidR="006B26AA" w:rsidRPr="0024424A" w:rsidRDefault="006B26AA" w:rsidP="006B26AA">
      <w:pPr>
        <w:rPr>
          <w:rFonts w:ascii="Verdana" w:hAnsi="Verdana"/>
          <w:lang w:val="en-GB"/>
        </w:rPr>
      </w:pPr>
    </w:p>
    <w:p w14:paraId="6906DB23" w14:textId="77777777" w:rsidR="006B26AA" w:rsidRPr="0024424A" w:rsidRDefault="006B26AA" w:rsidP="006B26AA">
      <w:pPr>
        <w:rPr>
          <w:rFonts w:ascii="Verdana" w:hAnsi="Verdana"/>
          <w:lang w:val="en-GB"/>
        </w:rPr>
      </w:pPr>
    </w:p>
    <w:p w14:paraId="6906DB24" w14:textId="77777777" w:rsidR="006B26AA" w:rsidRPr="0024424A" w:rsidRDefault="006B26AA" w:rsidP="006B26AA">
      <w:pPr>
        <w:rPr>
          <w:rFonts w:ascii="Verdana" w:hAnsi="Verdana"/>
          <w:lang w:val="en-GB"/>
        </w:rPr>
      </w:pPr>
    </w:p>
    <w:p w14:paraId="6906DB25" w14:textId="77777777" w:rsidR="006B26AA" w:rsidRPr="0024424A" w:rsidRDefault="006B26AA" w:rsidP="006B26AA">
      <w:pPr>
        <w:rPr>
          <w:rFonts w:ascii="Verdana" w:hAnsi="Verdana"/>
          <w:lang w:val="en-GB"/>
        </w:rPr>
      </w:pPr>
    </w:p>
    <w:p w14:paraId="6906DB26" w14:textId="77777777" w:rsidR="006B26AA" w:rsidRPr="0024424A" w:rsidRDefault="006B26AA" w:rsidP="006B26AA">
      <w:pPr>
        <w:rPr>
          <w:rFonts w:ascii="Verdana" w:hAnsi="Verdana"/>
          <w:lang w:val="en-GB"/>
        </w:rPr>
      </w:pPr>
    </w:p>
    <w:p w14:paraId="6906DB27" w14:textId="77777777" w:rsidR="006B26AA" w:rsidRPr="0024424A" w:rsidRDefault="006B26AA" w:rsidP="006B26AA">
      <w:pPr>
        <w:rPr>
          <w:rFonts w:ascii="Verdana" w:hAnsi="Verdana"/>
          <w:lang w:val="en-GB"/>
        </w:rPr>
      </w:pPr>
    </w:p>
    <w:p w14:paraId="6906DB28" w14:textId="77777777" w:rsidR="006B26AA" w:rsidRPr="0024424A" w:rsidRDefault="006B26AA" w:rsidP="006B26AA">
      <w:pPr>
        <w:rPr>
          <w:rFonts w:ascii="Verdana" w:hAnsi="Verdana"/>
          <w:lang w:val="en-GB"/>
        </w:rPr>
      </w:pPr>
    </w:p>
    <w:p w14:paraId="6906DB29" w14:textId="77777777" w:rsidR="006B26AA" w:rsidRPr="0024424A" w:rsidRDefault="006B26AA" w:rsidP="006B26AA">
      <w:pPr>
        <w:rPr>
          <w:rFonts w:ascii="Verdana" w:hAnsi="Verdana"/>
          <w:lang w:val="en-GB"/>
        </w:rPr>
      </w:pPr>
    </w:p>
    <w:p w14:paraId="6906DB2A" w14:textId="77777777" w:rsidR="009B6318" w:rsidRPr="0024424A" w:rsidRDefault="009B6318" w:rsidP="006B26AA">
      <w:pPr>
        <w:rPr>
          <w:rFonts w:ascii="Verdana" w:hAnsi="Verdana"/>
          <w:lang w:val="en-GB"/>
        </w:rPr>
      </w:pPr>
    </w:p>
    <w:p w14:paraId="6906DB2D" w14:textId="77777777" w:rsidR="006B26AA" w:rsidRPr="0024424A" w:rsidRDefault="006B26AA" w:rsidP="006B26AA">
      <w:pPr>
        <w:rPr>
          <w:rFonts w:ascii="Verdana" w:hAnsi="Verdana"/>
          <w:lang w:val="en-GB"/>
        </w:rPr>
      </w:pPr>
    </w:p>
    <w:p w14:paraId="6906DB2E" w14:textId="77777777" w:rsidR="00892A92" w:rsidRPr="0024424A" w:rsidRDefault="00892A92" w:rsidP="001D2A51">
      <w:pPr>
        <w:pStyle w:val="HeadingBody"/>
        <w:rPr>
          <w:sz w:val="18"/>
        </w:rPr>
      </w:pPr>
    </w:p>
    <w:p w14:paraId="6906DB2F" w14:textId="77777777" w:rsidR="00892A92" w:rsidRPr="0024424A" w:rsidRDefault="00892A92" w:rsidP="001D2A51">
      <w:pPr>
        <w:pStyle w:val="HeadingBody"/>
        <w:rPr>
          <w:sz w:val="18"/>
        </w:rPr>
      </w:pPr>
    </w:p>
    <w:p w14:paraId="3C6A72CA" w14:textId="77777777" w:rsidR="00F32E15" w:rsidRPr="00E656AF" w:rsidRDefault="00F32E15" w:rsidP="00F32E15">
      <w:pPr>
        <w:pStyle w:val="HeadingBody"/>
        <w:spacing w:line="288" w:lineRule="auto"/>
        <w:rPr>
          <w:szCs w:val="20"/>
        </w:rPr>
      </w:pPr>
      <w:r w:rsidRPr="00E656AF">
        <w:rPr>
          <w:szCs w:val="20"/>
        </w:rPr>
        <w:t>EUROPEAN COMMISSION</w:t>
      </w:r>
    </w:p>
    <w:p w14:paraId="5AC2816E" w14:textId="77777777" w:rsidR="00F32E15" w:rsidRPr="00E656AF" w:rsidRDefault="00F32E15" w:rsidP="00F32E15">
      <w:pPr>
        <w:spacing w:after="0" w:line="288" w:lineRule="auto"/>
        <w:jc w:val="left"/>
        <w:rPr>
          <w:rFonts w:ascii="Verdana" w:hAnsi="Verdana"/>
          <w:sz w:val="20"/>
          <w:lang w:val="en-GB"/>
        </w:rPr>
      </w:pPr>
      <w:r w:rsidRPr="00E656AF">
        <w:rPr>
          <w:rFonts w:ascii="Verdana" w:hAnsi="Verdana"/>
          <w:sz w:val="20"/>
          <w:lang w:val="en-GB"/>
        </w:rPr>
        <w:t>Directorate-General for Employment, Social Affairs and Inclusion</w:t>
      </w:r>
    </w:p>
    <w:p w14:paraId="72EC2ED3" w14:textId="77777777" w:rsidR="00F32E15" w:rsidRPr="00064367" w:rsidRDefault="00F32E15" w:rsidP="00F32E15">
      <w:pPr>
        <w:spacing w:after="0" w:line="288" w:lineRule="auto"/>
        <w:jc w:val="left"/>
        <w:rPr>
          <w:rFonts w:ascii="Verdana" w:hAnsi="Verdana"/>
          <w:sz w:val="20"/>
          <w:lang w:val="en-GB"/>
        </w:rPr>
      </w:pPr>
      <w:r w:rsidRPr="00064367">
        <w:rPr>
          <w:rFonts w:ascii="Verdana" w:hAnsi="Verdana"/>
          <w:sz w:val="20"/>
          <w:lang w:val="en-GB"/>
        </w:rPr>
        <w:t>Directorate E — Skills</w:t>
      </w:r>
    </w:p>
    <w:p w14:paraId="69CD5AFF" w14:textId="77777777" w:rsidR="00F32E15" w:rsidRPr="00064367" w:rsidRDefault="00F32E15" w:rsidP="00F32E15">
      <w:pPr>
        <w:spacing w:after="120" w:line="288" w:lineRule="auto"/>
        <w:jc w:val="left"/>
        <w:rPr>
          <w:rFonts w:ascii="Verdana" w:hAnsi="Verdana"/>
          <w:i/>
          <w:color w:val="FF0000"/>
          <w:sz w:val="20"/>
          <w:lang w:val="en-GB"/>
        </w:rPr>
      </w:pPr>
      <w:r w:rsidRPr="00064367">
        <w:rPr>
          <w:rFonts w:ascii="Verdana" w:hAnsi="Verdana"/>
          <w:sz w:val="20"/>
          <w:lang w:val="en-GB"/>
        </w:rPr>
        <w:t xml:space="preserve">Unit E.3 — </w:t>
      </w:r>
      <w:r w:rsidRPr="00064367">
        <w:rPr>
          <w:rFonts w:ascii="Verdana" w:hAnsi="Verdana"/>
          <w:sz w:val="16"/>
          <w:szCs w:val="16"/>
          <w:lang w:val="en-GB"/>
        </w:rPr>
        <w:t>VET, Apprenticeship and Adult Learning</w:t>
      </w:r>
    </w:p>
    <w:p w14:paraId="0628DCB4" w14:textId="77777777" w:rsidR="00F32E15" w:rsidRPr="00064367" w:rsidRDefault="00F32E15" w:rsidP="00F32E15">
      <w:pPr>
        <w:spacing w:after="120" w:line="288" w:lineRule="auto"/>
        <w:jc w:val="left"/>
        <w:rPr>
          <w:rFonts w:ascii="Verdana" w:hAnsi="Verdana"/>
          <w:i/>
          <w:sz w:val="20"/>
        </w:rPr>
      </w:pPr>
      <w:r w:rsidRPr="00064367">
        <w:rPr>
          <w:rFonts w:ascii="Verdana" w:hAnsi="Verdana"/>
          <w:i/>
          <w:sz w:val="20"/>
        </w:rPr>
        <w:t>Contact:</w:t>
      </w:r>
      <w:r w:rsidRPr="00064367">
        <w:rPr>
          <w:rFonts w:ascii="Verdana" w:hAnsi="Verdana"/>
          <w:sz w:val="20"/>
        </w:rPr>
        <w:t xml:space="preserve"> </w:t>
      </w:r>
      <w:r w:rsidRPr="00064367">
        <w:rPr>
          <w:rFonts w:ascii="Verdana" w:hAnsi="Verdana"/>
          <w:i/>
          <w:sz w:val="16"/>
          <w:szCs w:val="16"/>
        </w:rPr>
        <w:t>Mantas Sekmokas</w:t>
      </w:r>
    </w:p>
    <w:p w14:paraId="68A7A6BA" w14:textId="77777777" w:rsidR="00F32E15" w:rsidRPr="00064367" w:rsidRDefault="00F32E15" w:rsidP="00F32E15">
      <w:pPr>
        <w:tabs>
          <w:tab w:val="left" w:pos="709"/>
        </w:tabs>
        <w:spacing w:after="120" w:line="288" w:lineRule="auto"/>
        <w:ind w:left="709" w:hanging="709"/>
        <w:jc w:val="left"/>
        <w:rPr>
          <w:rFonts w:ascii="Verdana" w:hAnsi="Verdana"/>
          <w:sz w:val="20"/>
        </w:rPr>
      </w:pPr>
      <w:r w:rsidRPr="00064367">
        <w:rPr>
          <w:rFonts w:ascii="Verdana" w:hAnsi="Verdana"/>
          <w:i/>
          <w:sz w:val="20"/>
        </w:rPr>
        <w:t>E-mail:</w:t>
      </w:r>
      <w:r>
        <w:rPr>
          <w:rFonts w:ascii="Verdana" w:hAnsi="Verdana"/>
          <w:i/>
          <w:sz w:val="20"/>
        </w:rPr>
        <w:t xml:space="preserve"> </w:t>
      </w:r>
      <w:r w:rsidRPr="009D25F1">
        <w:rPr>
          <w:rFonts w:ascii="Verdana" w:hAnsi="Verdana"/>
          <w:i/>
          <w:sz w:val="16"/>
          <w:szCs w:val="16"/>
        </w:rPr>
        <w:t>EMPL-E3-UNIT@ec.europa.eu</w:t>
      </w:r>
      <w:r w:rsidRPr="00064367">
        <w:rPr>
          <w:rFonts w:ascii="Verdana" w:hAnsi="Verdana"/>
          <w:i/>
          <w:sz w:val="20"/>
        </w:rPr>
        <w:br/>
      </w:r>
    </w:p>
    <w:p w14:paraId="6906DB36" w14:textId="02B41666" w:rsidR="005931F7" w:rsidRPr="0024424A" w:rsidRDefault="00F32E15" w:rsidP="00F32E15">
      <w:pPr>
        <w:tabs>
          <w:tab w:val="left" w:pos="709"/>
        </w:tabs>
        <w:spacing w:after="120"/>
        <w:jc w:val="left"/>
        <w:rPr>
          <w:rStyle w:val="BodyChar"/>
          <w:sz w:val="20"/>
          <w:lang w:val="en-GB"/>
        </w:rPr>
      </w:pPr>
      <w:r w:rsidRPr="005B0671">
        <w:rPr>
          <w:rFonts w:ascii="Verdana" w:hAnsi="Verdana"/>
          <w:i/>
          <w:sz w:val="20"/>
        </w:rPr>
        <w:t>European Commission</w:t>
      </w:r>
      <w:r w:rsidRPr="005B0671">
        <w:rPr>
          <w:rFonts w:ascii="Verdana" w:hAnsi="Verdana"/>
          <w:i/>
          <w:sz w:val="20"/>
        </w:rPr>
        <w:br/>
        <w:t>B-1049 Brussels</w:t>
      </w:r>
    </w:p>
    <w:p w14:paraId="34C57B5F" w14:textId="77777777" w:rsidR="008604E1" w:rsidRPr="0024424A" w:rsidRDefault="008604E1" w:rsidP="00B14205">
      <w:pPr>
        <w:pStyle w:val="Heading"/>
        <w:rPr>
          <w:lang w:val="en-GB"/>
        </w:rPr>
        <w:sectPr w:rsidR="008604E1" w:rsidRPr="0024424A" w:rsidSect="00FB177B">
          <w:headerReference w:type="first" r:id="rId16"/>
          <w:footerReference w:type="first" r:id="rId17"/>
          <w:pgSz w:w="11907" w:h="16839" w:code="9"/>
          <w:pgMar w:top="1418" w:right="1418" w:bottom="851" w:left="1701" w:header="567" w:footer="493" w:gutter="0"/>
          <w:cols w:space="720"/>
          <w:titlePg/>
          <w:docGrid w:linePitch="326"/>
        </w:sectPr>
      </w:pPr>
    </w:p>
    <w:p w14:paraId="2F564F4E" w14:textId="77777777" w:rsidR="008604E1" w:rsidRPr="0024424A" w:rsidRDefault="008604E1" w:rsidP="008604E1">
      <w:pPr>
        <w:pStyle w:val="Titlepublication"/>
        <w:rPr>
          <w:color w:val="auto"/>
        </w:rPr>
      </w:pPr>
    </w:p>
    <w:p w14:paraId="1D2D1EA5" w14:textId="77777777" w:rsidR="008604E1" w:rsidRPr="0024424A" w:rsidRDefault="008604E1" w:rsidP="008604E1">
      <w:pPr>
        <w:pStyle w:val="Titlepublication"/>
        <w:rPr>
          <w:color w:val="auto"/>
        </w:rPr>
      </w:pPr>
    </w:p>
    <w:p w14:paraId="66FD5DB8" w14:textId="77777777" w:rsidR="008604E1" w:rsidRPr="0024424A" w:rsidRDefault="008604E1" w:rsidP="008604E1">
      <w:pPr>
        <w:pStyle w:val="Titlepublication"/>
        <w:rPr>
          <w:color w:val="auto"/>
        </w:rPr>
      </w:pPr>
    </w:p>
    <w:p w14:paraId="21013FC3" w14:textId="77777777" w:rsidR="008604E1" w:rsidRPr="0024424A" w:rsidRDefault="008604E1" w:rsidP="008604E1">
      <w:pPr>
        <w:pStyle w:val="Titlepublication"/>
        <w:rPr>
          <w:color w:val="auto"/>
        </w:rPr>
      </w:pPr>
    </w:p>
    <w:p w14:paraId="47F7EAE4" w14:textId="77777777" w:rsidR="008604E1" w:rsidRPr="0024424A" w:rsidRDefault="008604E1" w:rsidP="008604E1">
      <w:pPr>
        <w:pStyle w:val="Titlepublication"/>
        <w:rPr>
          <w:color w:val="auto"/>
        </w:rPr>
      </w:pPr>
    </w:p>
    <w:p w14:paraId="0CFAF882" w14:textId="77777777" w:rsidR="008604E1" w:rsidRPr="0024424A" w:rsidRDefault="008604E1" w:rsidP="008604E1">
      <w:pPr>
        <w:pStyle w:val="Titlepublication"/>
        <w:rPr>
          <w:color w:val="auto"/>
        </w:rPr>
      </w:pPr>
    </w:p>
    <w:p w14:paraId="3EA4A7A1" w14:textId="0D30D90C" w:rsidR="008604E1" w:rsidRPr="0024424A" w:rsidRDefault="001D1EE1" w:rsidP="008604E1">
      <w:pPr>
        <w:pStyle w:val="Titlepublication"/>
        <w:rPr>
          <w:color w:val="auto"/>
          <w:sz w:val="32"/>
          <w:szCs w:val="32"/>
        </w:rPr>
      </w:pPr>
      <w:r w:rsidRPr="0024424A">
        <w:rPr>
          <w:color w:val="auto"/>
          <w:sz w:val="32"/>
          <w:szCs w:val="32"/>
        </w:rPr>
        <w:t>Independent national experts network in the area of adult education/adult skills</w:t>
      </w:r>
    </w:p>
    <w:p w14:paraId="6906DB37" w14:textId="72F17940" w:rsidR="006B26AA" w:rsidRPr="0024424A" w:rsidRDefault="006B26AA" w:rsidP="00B14205">
      <w:pPr>
        <w:pStyle w:val="Heading"/>
        <w:rPr>
          <w:lang w:val="en-GB"/>
        </w:rPr>
      </w:pPr>
    </w:p>
    <w:p w14:paraId="4171DACD" w14:textId="72F0E625" w:rsidR="008604E1" w:rsidRPr="00F32E15" w:rsidRDefault="00F32E15" w:rsidP="008604E1">
      <w:pPr>
        <w:pStyle w:val="DocumentSubtitle"/>
        <w:tabs>
          <w:tab w:val="left" w:pos="4536"/>
        </w:tabs>
        <w:rPr>
          <w:b/>
          <w:szCs w:val="32"/>
        </w:rPr>
      </w:pPr>
      <w:r w:rsidRPr="00F32E15">
        <w:rPr>
          <w:b/>
          <w:szCs w:val="32"/>
        </w:rPr>
        <w:t xml:space="preserve">Full country report - </w:t>
      </w:r>
      <w:r w:rsidR="008611F2" w:rsidRPr="00F32E15">
        <w:rPr>
          <w:b/>
          <w:szCs w:val="32"/>
        </w:rPr>
        <w:t>Portugal</w:t>
      </w:r>
    </w:p>
    <w:p w14:paraId="4C3A5D3D" w14:textId="7617CC64" w:rsidR="00F466FD" w:rsidRPr="0024424A" w:rsidRDefault="00F466FD" w:rsidP="008604E1">
      <w:pPr>
        <w:pStyle w:val="DocumentSubtitle"/>
        <w:tabs>
          <w:tab w:val="left" w:pos="4536"/>
        </w:tabs>
        <w:rPr>
          <w:sz w:val="20"/>
          <w:szCs w:val="20"/>
        </w:rPr>
      </w:pPr>
    </w:p>
    <w:p w14:paraId="0A09135D" w14:textId="19389427" w:rsidR="00F466FD" w:rsidRPr="0024424A" w:rsidRDefault="00F466FD" w:rsidP="008604E1">
      <w:pPr>
        <w:pStyle w:val="DocumentSubtitle"/>
        <w:tabs>
          <w:tab w:val="left" w:pos="4536"/>
        </w:tabs>
        <w:rPr>
          <w:sz w:val="20"/>
          <w:szCs w:val="20"/>
        </w:rPr>
      </w:pPr>
    </w:p>
    <w:p w14:paraId="34982C0C" w14:textId="0F5C2769" w:rsidR="00F466FD" w:rsidRPr="0024424A" w:rsidRDefault="00F466FD" w:rsidP="00F466FD">
      <w:pPr>
        <w:spacing w:line="288" w:lineRule="auto"/>
        <w:rPr>
          <w:rFonts w:ascii="Verdana" w:hAnsi="Verdana"/>
          <w:sz w:val="20"/>
          <w:lang w:val="en-GB"/>
        </w:rPr>
      </w:pPr>
    </w:p>
    <w:p w14:paraId="5D60A569" w14:textId="5FB684CF" w:rsidR="00F466FD" w:rsidRPr="0024424A" w:rsidRDefault="00F466FD" w:rsidP="00F466FD">
      <w:pPr>
        <w:spacing w:line="288" w:lineRule="auto"/>
        <w:rPr>
          <w:rFonts w:ascii="Verdana" w:hAnsi="Verdana"/>
          <w:sz w:val="20"/>
          <w:lang w:val="en-GB"/>
        </w:rPr>
      </w:pPr>
    </w:p>
    <w:p w14:paraId="7811E6F7" w14:textId="77777777" w:rsidR="00F466FD" w:rsidRPr="0024424A" w:rsidRDefault="00F466FD" w:rsidP="00F466FD">
      <w:pPr>
        <w:spacing w:line="288" w:lineRule="auto"/>
        <w:rPr>
          <w:rFonts w:ascii="Verdana" w:hAnsi="Verdana"/>
          <w:sz w:val="20"/>
          <w:lang w:val="en-GB"/>
        </w:rPr>
      </w:pPr>
    </w:p>
    <w:p w14:paraId="6D036810" w14:textId="0CD932CB" w:rsidR="00F466FD" w:rsidRPr="0024424A" w:rsidRDefault="00F466FD" w:rsidP="00F466FD">
      <w:pPr>
        <w:rPr>
          <w:lang w:val="en-GB"/>
        </w:rPr>
      </w:pPr>
    </w:p>
    <w:p w14:paraId="037E49FA" w14:textId="37CF53BE" w:rsidR="003D3DA1" w:rsidRPr="0024424A" w:rsidRDefault="003D3DA1" w:rsidP="00F466FD">
      <w:pPr>
        <w:rPr>
          <w:lang w:val="en-GB"/>
        </w:rPr>
      </w:pPr>
    </w:p>
    <w:p w14:paraId="27CC6EED" w14:textId="48018750" w:rsidR="003D3DA1" w:rsidRPr="0024424A" w:rsidRDefault="003D3DA1" w:rsidP="00F466FD">
      <w:pPr>
        <w:rPr>
          <w:lang w:val="en-GB"/>
        </w:rPr>
      </w:pPr>
    </w:p>
    <w:p w14:paraId="7DB0E33F" w14:textId="3BE0C0C3" w:rsidR="003D3DA1" w:rsidRPr="0024424A" w:rsidRDefault="003D3DA1" w:rsidP="00F466FD">
      <w:pPr>
        <w:rPr>
          <w:lang w:val="en-GB"/>
        </w:rPr>
      </w:pPr>
    </w:p>
    <w:p w14:paraId="691FC231" w14:textId="77777777" w:rsidR="00F32E15" w:rsidRDefault="00F32E15" w:rsidP="00F466FD">
      <w:pPr>
        <w:rPr>
          <w:lang w:val="en-GB"/>
        </w:rPr>
        <w:sectPr w:rsidR="00F32E15" w:rsidSect="0012020F">
          <w:headerReference w:type="default" r:id="rId18"/>
          <w:footerReference w:type="default" r:id="rId19"/>
          <w:pgSz w:w="11906" w:h="16838" w:code="9"/>
          <w:pgMar w:top="1440" w:right="1440" w:bottom="1440" w:left="1440" w:header="567" w:footer="567" w:gutter="0"/>
          <w:cols w:space="708"/>
          <w:docGrid w:linePitch="360"/>
        </w:sectPr>
      </w:pPr>
    </w:p>
    <w:p w14:paraId="384FD215" w14:textId="58B9C0A1" w:rsidR="003D3DA1" w:rsidRPr="0024424A" w:rsidRDefault="003D3DA1" w:rsidP="00F466FD">
      <w:pPr>
        <w:rPr>
          <w:lang w:val="en-GB"/>
        </w:rPr>
      </w:pPr>
    </w:p>
    <w:p w14:paraId="1EAA1E5E" w14:textId="398CC66A" w:rsidR="003D3DA1" w:rsidRPr="0024424A" w:rsidRDefault="003D3DA1" w:rsidP="00F466FD">
      <w:pPr>
        <w:rPr>
          <w:lang w:val="en-GB"/>
        </w:rPr>
      </w:pPr>
    </w:p>
    <w:p w14:paraId="68A4ABD8" w14:textId="5BCB5B64" w:rsidR="003D3DA1" w:rsidRPr="0024424A" w:rsidRDefault="003D3DA1" w:rsidP="00F466FD">
      <w:pPr>
        <w:rPr>
          <w:lang w:val="en-GB"/>
        </w:rPr>
      </w:pPr>
    </w:p>
    <w:p w14:paraId="237E03BD" w14:textId="1F33E7F5" w:rsidR="003D3DA1" w:rsidRDefault="003D3DA1" w:rsidP="00F466FD">
      <w:pPr>
        <w:rPr>
          <w:lang w:val="en-GB"/>
        </w:rPr>
      </w:pPr>
    </w:p>
    <w:p w14:paraId="25565FBF" w14:textId="7FDCEAEE" w:rsidR="00F32E15" w:rsidRDefault="00F32E15" w:rsidP="00F466FD">
      <w:pPr>
        <w:rPr>
          <w:lang w:val="en-GB"/>
        </w:rPr>
      </w:pPr>
    </w:p>
    <w:p w14:paraId="592D9669" w14:textId="1418327C" w:rsidR="00F32E15" w:rsidRDefault="00F32E15" w:rsidP="00F466FD">
      <w:pPr>
        <w:rPr>
          <w:lang w:val="en-GB"/>
        </w:rPr>
      </w:pPr>
    </w:p>
    <w:p w14:paraId="7F556F4C" w14:textId="32F48F5F" w:rsidR="00F32E15" w:rsidRDefault="00F32E15" w:rsidP="00F466FD">
      <w:pPr>
        <w:rPr>
          <w:lang w:val="en-GB"/>
        </w:rPr>
      </w:pPr>
    </w:p>
    <w:p w14:paraId="6B2CF545" w14:textId="16AC83C3" w:rsidR="00F32E15" w:rsidRDefault="00F32E15" w:rsidP="00F466FD">
      <w:pPr>
        <w:rPr>
          <w:lang w:val="en-GB"/>
        </w:rPr>
      </w:pPr>
    </w:p>
    <w:p w14:paraId="73478410" w14:textId="3641E4E4" w:rsidR="00F32E15" w:rsidRDefault="00F32E15" w:rsidP="00F466FD">
      <w:pPr>
        <w:rPr>
          <w:lang w:val="en-GB"/>
        </w:rPr>
      </w:pPr>
    </w:p>
    <w:tbl>
      <w:tblPr>
        <w:tblpPr w:leftFromText="180" w:rightFromText="180" w:vertAnchor="text" w:horzAnchor="margin"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6"/>
      </w:tblGrid>
      <w:tr w:rsidR="00F32E15" w:rsidRPr="00F32E15" w14:paraId="7833B9DC" w14:textId="77777777" w:rsidTr="009837A2">
        <w:trPr>
          <w:trHeight w:val="2263"/>
        </w:trPr>
        <w:tc>
          <w:tcPr>
            <w:tcW w:w="7376" w:type="dxa"/>
            <w:tcMar>
              <w:left w:w="0" w:type="dxa"/>
              <w:right w:w="0" w:type="dxa"/>
            </w:tcMar>
          </w:tcPr>
          <w:p w14:paraId="60210D87" w14:textId="77777777" w:rsidR="00F32E15" w:rsidRPr="00E656AF" w:rsidRDefault="00F32E15" w:rsidP="009837A2">
            <w:pPr>
              <w:spacing w:before="80" w:line="288" w:lineRule="auto"/>
              <w:jc w:val="center"/>
              <w:rPr>
                <w:rFonts w:ascii="Verdana" w:hAnsi="Verdana"/>
                <w:noProof/>
                <w:sz w:val="20"/>
                <w:lang w:val="en-GB"/>
              </w:rPr>
            </w:pPr>
            <w:r w:rsidRPr="00E656AF">
              <w:rPr>
                <w:rFonts w:ascii="Verdana" w:hAnsi="Verdana"/>
                <w:b/>
                <w:i/>
                <w:noProof/>
                <w:sz w:val="20"/>
                <w:lang w:val="en-GB"/>
              </w:rPr>
              <w:t xml:space="preserve">Europe Direct is a service to help you find answers </w:t>
            </w:r>
            <w:r w:rsidRPr="00E656AF">
              <w:rPr>
                <w:rFonts w:ascii="Verdana" w:hAnsi="Verdana"/>
                <w:noProof/>
                <w:sz w:val="20"/>
                <w:lang w:val="en-GB"/>
              </w:rPr>
              <w:br/>
            </w:r>
            <w:r w:rsidRPr="00E656AF">
              <w:rPr>
                <w:rFonts w:ascii="Verdana" w:hAnsi="Verdana"/>
                <w:b/>
                <w:i/>
                <w:noProof/>
                <w:sz w:val="20"/>
                <w:lang w:val="en-GB"/>
              </w:rPr>
              <w:t>to your questions about the European Union.</w:t>
            </w:r>
          </w:p>
          <w:p w14:paraId="6F10CB42" w14:textId="77777777" w:rsidR="00F32E15" w:rsidRPr="00E656AF" w:rsidRDefault="00F32E15" w:rsidP="009837A2">
            <w:pPr>
              <w:spacing w:line="288" w:lineRule="auto"/>
              <w:jc w:val="center"/>
              <w:rPr>
                <w:rFonts w:ascii="Verdana" w:hAnsi="Verdana"/>
                <w:noProof/>
                <w:sz w:val="20"/>
                <w:lang w:val="en-GB"/>
              </w:rPr>
            </w:pPr>
            <w:r w:rsidRPr="00E656AF">
              <w:rPr>
                <w:rFonts w:ascii="Verdana" w:hAnsi="Verdana"/>
                <w:b/>
                <w:noProof/>
                <w:sz w:val="20"/>
                <w:lang w:val="en-GB"/>
              </w:rPr>
              <w:t>Freephone number</w:t>
            </w:r>
            <w:r w:rsidRPr="00E656AF">
              <w:rPr>
                <w:rFonts w:ascii="Verdana" w:hAnsi="Verdana"/>
                <w:noProof/>
                <w:sz w:val="20"/>
                <w:lang w:val="en-GB"/>
              </w:rPr>
              <w:t xml:space="preserve"> (*)</w:t>
            </w:r>
            <w:r w:rsidRPr="00E656AF">
              <w:rPr>
                <w:rFonts w:ascii="Verdana" w:hAnsi="Verdana"/>
                <w:b/>
                <w:noProof/>
                <w:sz w:val="20"/>
                <w:lang w:val="en-GB"/>
              </w:rPr>
              <w:t>:</w:t>
            </w:r>
          </w:p>
          <w:p w14:paraId="72528D4C" w14:textId="77777777" w:rsidR="00F32E15" w:rsidRPr="00E656AF" w:rsidRDefault="00F32E15" w:rsidP="009837A2">
            <w:pPr>
              <w:spacing w:line="288" w:lineRule="auto"/>
              <w:jc w:val="center"/>
              <w:rPr>
                <w:rFonts w:ascii="Verdana" w:hAnsi="Verdana"/>
                <w:noProof/>
                <w:sz w:val="20"/>
                <w:lang w:val="en-GB"/>
              </w:rPr>
            </w:pPr>
            <w:r w:rsidRPr="00E656AF">
              <w:rPr>
                <w:rFonts w:ascii="Verdana" w:hAnsi="Verdana"/>
                <w:b/>
                <w:noProof/>
                <w:sz w:val="20"/>
                <w:lang w:val="en-GB"/>
              </w:rPr>
              <w:t>00 800 6 7 8 9 10 11</w:t>
            </w:r>
          </w:p>
          <w:p w14:paraId="64039338" w14:textId="77777777" w:rsidR="00F32E15" w:rsidRPr="00E656AF" w:rsidRDefault="00F32E15" w:rsidP="009837A2">
            <w:pPr>
              <w:spacing w:before="120" w:after="60" w:line="288" w:lineRule="auto"/>
              <w:ind w:left="397" w:right="170" w:hanging="227"/>
              <w:rPr>
                <w:rFonts w:ascii="Verdana" w:hAnsi="Verdana"/>
                <w:noProof/>
                <w:sz w:val="20"/>
                <w:lang w:val="en-GB"/>
              </w:rPr>
            </w:pPr>
            <w:hyperlink r:id="rId20" w:anchor="note1#note1" w:tooltip="Back to the text" w:history="1">
              <w:r w:rsidRPr="00E656AF">
                <w:rPr>
                  <w:rFonts w:ascii="Verdana" w:hAnsi="Verdana" w:cs="Arial"/>
                  <w:sz w:val="20"/>
                  <w:lang w:val="en-GB"/>
                </w:rPr>
                <w:t>(*)</w:t>
              </w:r>
            </w:hyperlink>
            <w:r w:rsidRPr="00E656AF">
              <w:rPr>
                <w:rFonts w:ascii="Verdana" w:hAnsi="Verdana" w:cs="Arial"/>
                <w:sz w:val="20"/>
                <w:lang w:val="en-GB"/>
              </w:rPr>
              <w:tab/>
              <w:t>The information given is free, as are most calls (though some operators, phone boxes or hotels may charge you).</w:t>
            </w:r>
          </w:p>
        </w:tc>
      </w:tr>
    </w:tbl>
    <w:p w14:paraId="18F6C723" w14:textId="2F38A86E" w:rsidR="00F32E15" w:rsidRDefault="00F32E15" w:rsidP="00F466FD">
      <w:pPr>
        <w:rPr>
          <w:lang w:val="en-GB"/>
        </w:rPr>
      </w:pPr>
    </w:p>
    <w:p w14:paraId="2BA2436D" w14:textId="7D6CC72D" w:rsidR="00F32E15" w:rsidRDefault="00F32E15" w:rsidP="00F466FD">
      <w:pPr>
        <w:rPr>
          <w:lang w:val="en-GB"/>
        </w:rPr>
      </w:pPr>
    </w:p>
    <w:p w14:paraId="512211B7" w14:textId="572669CB" w:rsidR="00F32E15" w:rsidRDefault="00F32E15" w:rsidP="00F466FD">
      <w:pPr>
        <w:rPr>
          <w:lang w:val="en-GB"/>
        </w:rPr>
      </w:pPr>
    </w:p>
    <w:p w14:paraId="77B56D6E" w14:textId="77777777" w:rsidR="00F32E15" w:rsidRPr="0024424A" w:rsidRDefault="00F32E15" w:rsidP="00F466FD">
      <w:pPr>
        <w:rPr>
          <w:lang w:val="en-GB"/>
        </w:rPr>
      </w:pPr>
    </w:p>
    <w:p w14:paraId="1487F25B" w14:textId="3677D78F" w:rsidR="003D3DA1" w:rsidRPr="0024424A" w:rsidRDefault="003D3DA1" w:rsidP="00F466FD">
      <w:pPr>
        <w:rPr>
          <w:lang w:val="en-GB"/>
        </w:rPr>
      </w:pPr>
    </w:p>
    <w:p w14:paraId="561D812B" w14:textId="77777777" w:rsidR="003D3DA1" w:rsidRPr="0024424A" w:rsidRDefault="003D3DA1" w:rsidP="00F466FD">
      <w:pPr>
        <w:spacing w:after="120" w:line="288" w:lineRule="auto"/>
        <w:rPr>
          <w:lang w:val="en-GB"/>
        </w:rPr>
      </w:pPr>
    </w:p>
    <w:p w14:paraId="6B6375B1" w14:textId="77777777" w:rsidR="00F32E15" w:rsidRDefault="00F32E15" w:rsidP="00F32E15">
      <w:pPr>
        <w:spacing w:after="120"/>
        <w:jc w:val="left"/>
        <w:rPr>
          <w:rFonts w:ascii="Verdana" w:hAnsi="Verdana"/>
          <w:b/>
          <w:sz w:val="20"/>
          <w:lang w:val="en-GB"/>
        </w:rPr>
      </w:pPr>
      <w:bookmarkStart w:id="0" w:name="_Toc495486797"/>
    </w:p>
    <w:p w14:paraId="09DC215C" w14:textId="33A566BF" w:rsidR="00F32E15" w:rsidRPr="00E656AF" w:rsidRDefault="00F32E15" w:rsidP="00F32E15">
      <w:pPr>
        <w:spacing w:after="120"/>
        <w:jc w:val="left"/>
        <w:rPr>
          <w:rFonts w:ascii="Verdana" w:hAnsi="Verdana"/>
          <w:b/>
          <w:sz w:val="20"/>
          <w:lang w:val="en-GB"/>
        </w:rPr>
      </w:pPr>
      <w:r w:rsidRPr="00E656AF">
        <w:rPr>
          <w:rFonts w:ascii="Verdana" w:hAnsi="Verdana"/>
          <w:b/>
          <w:sz w:val="20"/>
          <w:lang w:val="en-GB"/>
        </w:rPr>
        <w:t>LEGAL NOTICE</w:t>
      </w:r>
    </w:p>
    <w:p w14:paraId="5CF8824A" w14:textId="77777777" w:rsidR="00F32E15" w:rsidRPr="00E656AF" w:rsidRDefault="00F32E15" w:rsidP="00F32E15">
      <w:pPr>
        <w:spacing w:line="288" w:lineRule="auto"/>
        <w:jc w:val="left"/>
        <w:rPr>
          <w:rFonts w:ascii="Verdana" w:hAnsi="Verdana"/>
          <w:sz w:val="20"/>
          <w:lang w:val="en-GB"/>
        </w:rPr>
      </w:pPr>
      <w:r w:rsidRPr="00E656AF">
        <w:rPr>
          <w:rFonts w:ascii="Verdana" w:hAnsi="Verdana"/>
          <w:sz w:val="20"/>
          <w:lang w:val="en-GB"/>
        </w:rPr>
        <w:t>This document has been prepared for the European Commission however it reflects the views only of the authors, and the Commission cannot be held responsible for any use which may be made of the information contained therein.</w:t>
      </w:r>
    </w:p>
    <w:p w14:paraId="44AB2FBE" w14:textId="77777777" w:rsidR="00F32E15" w:rsidRPr="00E656AF" w:rsidRDefault="00F32E15" w:rsidP="00F32E15">
      <w:pPr>
        <w:spacing w:line="288" w:lineRule="auto"/>
        <w:jc w:val="left"/>
        <w:rPr>
          <w:rFonts w:ascii="Verdana" w:hAnsi="Verdana"/>
          <w:sz w:val="20"/>
          <w:lang w:val="en-GB"/>
        </w:rPr>
      </w:pPr>
      <w:r w:rsidRPr="00E656AF">
        <w:rPr>
          <w:rFonts w:ascii="Verdana" w:hAnsi="Verdana"/>
          <w:sz w:val="20"/>
          <w:lang w:val="en-GB"/>
        </w:rPr>
        <w:t>More information on the European Union is available on the Internet (http://www.europa.eu).</w:t>
      </w:r>
    </w:p>
    <w:p w14:paraId="76536436" w14:textId="77777777" w:rsidR="00F32E15" w:rsidRPr="00E656AF" w:rsidRDefault="00F32E15" w:rsidP="00F32E15">
      <w:pPr>
        <w:spacing w:line="288" w:lineRule="auto"/>
        <w:jc w:val="left"/>
        <w:rPr>
          <w:rFonts w:ascii="Verdana" w:hAnsi="Verdana"/>
          <w:sz w:val="20"/>
          <w:lang w:val="en-GB"/>
        </w:rPr>
      </w:pPr>
      <w:r w:rsidRPr="00E656AF">
        <w:rPr>
          <w:rFonts w:ascii="Verdana" w:hAnsi="Verdana"/>
          <w:sz w:val="20"/>
          <w:lang w:val="en-GB"/>
        </w:rPr>
        <w:t>Luxembourg: Publications Office of the European Union, 2018</w:t>
      </w:r>
    </w:p>
    <w:p w14:paraId="783863CD" w14:textId="77777777" w:rsidR="00F32E15" w:rsidRPr="00E656AF" w:rsidRDefault="00F32E15" w:rsidP="00F32E15">
      <w:pPr>
        <w:spacing w:after="0" w:line="288" w:lineRule="auto"/>
        <w:jc w:val="left"/>
        <w:rPr>
          <w:rFonts w:ascii="Verdana" w:hAnsi="Verdana"/>
          <w:sz w:val="20"/>
          <w:lang w:val="en-GB"/>
        </w:rPr>
      </w:pPr>
      <w:r w:rsidRPr="00E656AF">
        <w:rPr>
          <w:rFonts w:ascii="Verdana" w:hAnsi="Verdana"/>
          <w:sz w:val="20"/>
          <w:lang w:val="en-GB"/>
        </w:rPr>
        <w:t xml:space="preserve">© European Union, 2018 </w:t>
      </w:r>
    </w:p>
    <w:p w14:paraId="265996CD" w14:textId="77777777" w:rsidR="00F32E15" w:rsidRPr="00E656AF" w:rsidRDefault="00F32E15" w:rsidP="00F32E15">
      <w:pPr>
        <w:spacing w:after="0" w:line="288" w:lineRule="auto"/>
        <w:jc w:val="left"/>
        <w:rPr>
          <w:rFonts w:ascii="Verdana" w:hAnsi="Verdana"/>
          <w:sz w:val="20"/>
          <w:lang w:val="en-GB"/>
        </w:rPr>
      </w:pPr>
    </w:p>
    <w:p w14:paraId="55FAFC88" w14:textId="77777777" w:rsidR="00F32E15" w:rsidRPr="00E656AF" w:rsidRDefault="00F32E15" w:rsidP="00F32E15">
      <w:pPr>
        <w:spacing w:after="0" w:line="288" w:lineRule="auto"/>
        <w:jc w:val="left"/>
        <w:rPr>
          <w:rFonts w:ascii="Verdana" w:hAnsi="Verdana"/>
          <w:sz w:val="20"/>
          <w:lang w:val="en-GB"/>
        </w:rPr>
      </w:pPr>
      <w:r w:rsidRPr="00E656AF">
        <w:rPr>
          <w:rFonts w:ascii="Verdana" w:hAnsi="Verdana"/>
          <w:sz w:val="20"/>
          <w:lang w:val="en-GB"/>
        </w:rPr>
        <w:t xml:space="preserve">Reproduction is authorised provided the source is acknowledged. </w:t>
      </w:r>
    </w:p>
    <w:p w14:paraId="18B6C0E1" w14:textId="634FA889" w:rsidR="00F32E15" w:rsidRDefault="00F32E15" w:rsidP="00F32E15">
      <w:pPr>
        <w:spacing w:line="288" w:lineRule="auto"/>
        <w:jc w:val="left"/>
        <w:rPr>
          <w:rFonts w:ascii="Verdana" w:hAnsi="Verdana"/>
          <w:sz w:val="20"/>
          <w:lang w:val="en-GB"/>
        </w:rPr>
      </w:pPr>
      <w:r w:rsidRPr="00E656AF">
        <w:rPr>
          <w:rFonts w:ascii="Verdana" w:hAnsi="Verdana"/>
          <w:sz w:val="20"/>
          <w:lang w:val="en-GB"/>
        </w:rPr>
        <w:t xml:space="preserve">For any use of materials which are not under the European Union copyright, permission must be sought directly from the copyright holder(s) indicated. </w:t>
      </w:r>
    </w:p>
    <w:p w14:paraId="5799ADCC" w14:textId="347EB42D" w:rsidR="00F32E15" w:rsidRDefault="00F32E15">
      <w:pPr>
        <w:spacing w:after="0"/>
        <w:jc w:val="left"/>
        <w:rPr>
          <w:rFonts w:ascii="Verdana" w:hAnsi="Verdana"/>
          <w:sz w:val="20"/>
          <w:lang w:val="en-GB"/>
        </w:rPr>
      </w:pPr>
    </w:p>
    <w:p w14:paraId="7BD3016E" w14:textId="0BC82DA4" w:rsidR="00F32E15" w:rsidRDefault="00F32E15">
      <w:pPr>
        <w:spacing w:after="0"/>
        <w:jc w:val="left"/>
        <w:rPr>
          <w:rFonts w:ascii="Verdana" w:hAnsi="Verdana"/>
          <w:sz w:val="20"/>
          <w:lang w:val="en-GB"/>
        </w:rPr>
      </w:pPr>
    </w:p>
    <w:p w14:paraId="198BA155" w14:textId="7F85A373" w:rsidR="00F32E15" w:rsidRDefault="00F32E15">
      <w:pPr>
        <w:spacing w:after="0"/>
        <w:jc w:val="left"/>
        <w:rPr>
          <w:rFonts w:ascii="Verdana" w:hAnsi="Verdana"/>
          <w:sz w:val="20"/>
          <w:lang w:val="en-GB"/>
        </w:rPr>
      </w:pPr>
    </w:p>
    <w:p w14:paraId="5CAF88C0" w14:textId="77777777" w:rsidR="00F32E15" w:rsidRDefault="00F32E15">
      <w:pPr>
        <w:spacing w:after="0"/>
        <w:jc w:val="left"/>
        <w:rPr>
          <w:rFonts w:ascii="Verdana" w:hAnsi="Verdana"/>
          <w:sz w:val="20"/>
          <w:lang w:val="en-GB"/>
        </w:rPr>
        <w:sectPr w:rsidR="00F32E15" w:rsidSect="0012020F">
          <w:headerReference w:type="default" r:id="rId21"/>
          <w:footerReference w:type="default" r:id="rId22"/>
          <w:pgSz w:w="11906" w:h="16838" w:code="9"/>
          <w:pgMar w:top="1440" w:right="1440" w:bottom="1440" w:left="1440" w:header="567" w:footer="567" w:gutter="0"/>
          <w:cols w:space="708"/>
          <w:docGrid w:linePitch="360"/>
        </w:sectPr>
      </w:pPr>
    </w:p>
    <w:p w14:paraId="799CF214" w14:textId="77777777" w:rsidR="00D8254E" w:rsidRPr="000954A7" w:rsidRDefault="00D8254E" w:rsidP="00F41B98">
      <w:pPr>
        <w:pStyle w:val="Heading1"/>
        <w:keepNext w:val="0"/>
        <w:pageBreakBefore/>
        <w:numPr>
          <w:ilvl w:val="0"/>
          <w:numId w:val="24"/>
        </w:numPr>
        <w:tabs>
          <w:tab w:val="clear" w:pos="1134"/>
          <w:tab w:val="left" w:pos="851"/>
        </w:tabs>
        <w:spacing w:before="0" w:after="360" w:line="288" w:lineRule="auto"/>
        <w:ind w:left="851" w:hanging="851"/>
      </w:pPr>
      <w:bookmarkStart w:id="1" w:name="_Toc494321764"/>
      <w:bookmarkStart w:id="2" w:name="_Toc491862480"/>
      <w:r w:rsidRPr="000954A7">
        <w:lastRenderedPageBreak/>
        <w:t>Country overview</w:t>
      </w:r>
    </w:p>
    <w:p w14:paraId="14FFE619" w14:textId="77777777" w:rsidR="00D8254E" w:rsidRPr="000954A7" w:rsidRDefault="00D8254E" w:rsidP="00F41B98">
      <w:pPr>
        <w:pStyle w:val="Heading2"/>
      </w:pPr>
      <w:r w:rsidRPr="000954A7">
        <w:t>Trends for the entire population</w:t>
      </w:r>
    </w:p>
    <w:p w14:paraId="382B183C" w14:textId="77777777" w:rsidR="00D8254E" w:rsidRPr="000954A7" w:rsidRDefault="00D8254E" w:rsidP="00F41B98">
      <w:pPr>
        <w:pStyle w:val="Heading3"/>
      </w:pPr>
      <w:r w:rsidRPr="000954A7">
        <w:t>Employment rate – entire population</w:t>
      </w:r>
    </w:p>
    <w:p w14:paraId="684D96C0" w14:textId="77777777" w:rsidR="00D8254E" w:rsidRPr="00F32E15" w:rsidRDefault="00D8254E" w:rsidP="00F41B98">
      <w:pPr>
        <w:pStyle w:val="BodyText"/>
        <w:spacing w:after="0"/>
        <w:rPr>
          <w:b/>
          <w:lang w:val="en-GB"/>
        </w:rPr>
      </w:pPr>
      <w:r w:rsidRPr="00F32E15">
        <w:rPr>
          <w:b/>
          <w:lang w:val="en-GB"/>
        </w:rPr>
        <w:t xml:space="preserve">Table </w:t>
      </w:r>
      <w:r w:rsidRPr="0004580B">
        <w:rPr>
          <w:b/>
        </w:rPr>
        <w:fldChar w:fldCharType="begin"/>
      </w:r>
      <w:r w:rsidRPr="00F32E15">
        <w:rPr>
          <w:b/>
          <w:lang w:val="en-GB"/>
        </w:rPr>
        <w:instrText xml:space="preserve"> STYLEREF 1 \s </w:instrText>
      </w:r>
      <w:r w:rsidRPr="0004580B">
        <w:rPr>
          <w:b/>
        </w:rPr>
        <w:fldChar w:fldCharType="separate"/>
      </w:r>
      <w:r w:rsidRPr="00F32E15">
        <w:rPr>
          <w:b/>
          <w:lang w:val="en-GB"/>
        </w:rPr>
        <w:t>1</w:t>
      </w:r>
      <w:r w:rsidRPr="0004580B">
        <w:rPr>
          <w:b/>
        </w:rPr>
        <w:fldChar w:fldCharType="end"/>
      </w:r>
      <w:r w:rsidRPr="00F32E15">
        <w:rPr>
          <w:b/>
          <w:lang w:val="en-GB"/>
        </w:rPr>
        <w:t>.</w:t>
      </w:r>
      <w:r w:rsidRPr="0004580B">
        <w:rPr>
          <w:b/>
        </w:rPr>
        <w:fldChar w:fldCharType="begin"/>
      </w:r>
      <w:r w:rsidRPr="00F32E15">
        <w:rPr>
          <w:b/>
          <w:lang w:val="en-GB"/>
        </w:rPr>
        <w:instrText xml:space="preserve"> SEQ Table \* ARABIC \s 1 </w:instrText>
      </w:r>
      <w:r w:rsidRPr="0004580B">
        <w:rPr>
          <w:b/>
        </w:rPr>
        <w:fldChar w:fldCharType="separate"/>
      </w:r>
      <w:r w:rsidRPr="00F32E15">
        <w:rPr>
          <w:b/>
          <w:lang w:val="en-GB"/>
        </w:rPr>
        <w:t>1</w:t>
      </w:r>
      <w:r w:rsidRPr="0004580B">
        <w:rPr>
          <w:b/>
        </w:rPr>
        <w:fldChar w:fldCharType="end"/>
      </w:r>
      <w:r w:rsidRPr="00F32E15">
        <w:rPr>
          <w:b/>
          <w:lang w:val="en-GB"/>
        </w:rPr>
        <w:t xml:space="preserve"> Evolution of employment rate – national average (2010-2016) compared to EU data</w:t>
      </w:r>
    </w:p>
    <w:tbl>
      <w:tblPr>
        <w:tblStyle w:val="ecTable"/>
        <w:tblW w:w="5082" w:type="pct"/>
        <w:tblLayout w:type="fixed"/>
        <w:tblLook w:val="0420" w:firstRow="1" w:lastRow="0" w:firstColumn="0" w:lastColumn="0" w:noHBand="0" w:noVBand="1"/>
      </w:tblPr>
      <w:tblGrid>
        <w:gridCol w:w="1428"/>
        <w:gridCol w:w="664"/>
        <w:gridCol w:w="665"/>
        <w:gridCol w:w="665"/>
        <w:gridCol w:w="664"/>
        <w:gridCol w:w="665"/>
        <w:gridCol w:w="665"/>
        <w:gridCol w:w="624"/>
        <w:gridCol w:w="624"/>
        <w:gridCol w:w="671"/>
        <w:gridCol w:w="6"/>
        <w:gridCol w:w="775"/>
        <w:gridCol w:w="1021"/>
        <w:gridCol w:w="7"/>
      </w:tblGrid>
      <w:tr w:rsidR="00D8254E" w:rsidRPr="00F4539B" w14:paraId="000113D5" w14:textId="77777777" w:rsidTr="00F32E15">
        <w:trPr>
          <w:cnfStyle w:val="100000000000" w:firstRow="1" w:lastRow="0" w:firstColumn="0" w:lastColumn="0" w:oddVBand="0" w:evenVBand="0" w:oddHBand="0" w:evenHBand="0" w:firstRowFirstColumn="0" w:firstRowLastColumn="0" w:lastRowFirstColumn="0" w:lastRowLastColumn="0"/>
          <w:trHeight w:val="344"/>
        </w:trPr>
        <w:tc>
          <w:tcPr>
            <w:tcW w:w="1428" w:type="dxa"/>
            <w:hideMark/>
          </w:tcPr>
          <w:p w14:paraId="039D459B" w14:textId="77777777" w:rsidR="00D8254E" w:rsidRPr="00F4539B" w:rsidRDefault="00D8254E" w:rsidP="004354BE">
            <w:pPr>
              <w:pStyle w:val="Tabletext"/>
              <w:rPr>
                <w:rFonts w:ascii="Verdana" w:hAnsi="Verdana"/>
              </w:rPr>
            </w:pPr>
            <w:r w:rsidRPr="00F4539B">
              <w:rPr>
                <w:rFonts w:ascii="Verdana" w:hAnsi="Verdana"/>
              </w:rPr>
              <w:t>Geographical area</w:t>
            </w:r>
          </w:p>
        </w:tc>
        <w:tc>
          <w:tcPr>
            <w:tcW w:w="5913" w:type="dxa"/>
            <w:gridSpan w:val="10"/>
            <w:hideMark/>
          </w:tcPr>
          <w:p w14:paraId="4383F678" w14:textId="77777777" w:rsidR="00D8254E" w:rsidRPr="00F4539B" w:rsidRDefault="00D8254E" w:rsidP="004354BE">
            <w:pPr>
              <w:pStyle w:val="Tabletext"/>
              <w:rPr>
                <w:rFonts w:ascii="Verdana" w:hAnsi="Verdana"/>
              </w:rPr>
            </w:pPr>
            <w:r w:rsidRPr="00F4539B">
              <w:rPr>
                <w:rFonts w:ascii="Verdana" w:hAnsi="Verdana"/>
              </w:rPr>
              <w:t>Years</w:t>
            </w:r>
          </w:p>
        </w:tc>
        <w:tc>
          <w:tcPr>
            <w:tcW w:w="1803" w:type="dxa"/>
            <w:gridSpan w:val="3"/>
            <w:hideMark/>
          </w:tcPr>
          <w:p w14:paraId="3893250C" w14:textId="77777777" w:rsidR="00D8254E" w:rsidRPr="00F4539B" w:rsidRDefault="00D8254E" w:rsidP="004354BE">
            <w:pPr>
              <w:pStyle w:val="Tabletext"/>
              <w:rPr>
                <w:rFonts w:ascii="Verdana" w:hAnsi="Verdana"/>
              </w:rPr>
            </w:pPr>
            <w:r w:rsidRPr="00F4539B">
              <w:rPr>
                <w:rFonts w:ascii="Verdana" w:hAnsi="Verdana"/>
              </w:rPr>
              <w:t xml:space="preserve">Targets </w:t>
            </w:r>
          </w:p>
        </w:tc>
      </w:tr>
      <w:tr w:rsidR="00D8254E" w:rsidRPr="00F4539B" w14:paraId="18830D9D" w14:textId="77777777" w:rsidTr="00F32E15">
        <w:trPr>
          <w:gridAfter w:val="1"/>
          <w:wAfter w:w="7" w:type="dxa"/>
          <w:trHeight w:val="310"/>
        </w:trPr>
        <w:tc>
          <w:tcPr>
            <w:tcW w:w="1428" w:type="dxa"/>
          </w:tcPr>
          <w:p w14:paraId="44627705" w14:textId="77777777" w:rsidR="00D8254E" w:rsidRPr="00F41B98" w:rsidRDefault="00D8254E" w:rsidP="004354BE">
            <w:pPr>
              <w:pStyle w:val="Tabletext"/>
              <w:rPr>
                <w:rFonts w:ascii="Verdana" w:hAnsi="Verdana"/>
                <w:sz w:val="16"/>
              </w:rPr>
            </w:pPr>
          </w:p>
        </w:tc>
        <w:tc>
          <w:tcPr>
            <w:tcW w:w="664" w:type="dxa"/>
            <w:noWrap/>
            <w:hideMark/>
          </w:tcPr>
          <w:p w14:paraId="107CCDD7" w14:textId="77777777" w:rsidR="00D8254E" w:rsidRPr="00F41B98" w:rsidRDefault="00D8254E" w:rsidP="004354BE">
            <w:pPr>
              <w:pStyle w:val="Tabletext"/>
              <w:rPr>
                <w:rFonts w:ascii="Verdana" w:hAnsi="Verdana"/>
                <w:sz w:val="16"/>
              </w:rPr>
            </w:pPr>
            <w:r w:rsidRPr="00F41B98">
              <w:rPr>
                <w:rFonts w:ascii="Verdana" w:hAnsi="Verdana"/>
                <w:sz w:val="16"/>
              </w:rPr>
              <w:t>2000</w:t>
            </w:r>
          </w:p>
        </w:tc>
        <w:tc>
          <w:tcPr>
            <w:tcW w:w="665" w:type="dxa"/>
            <w:noWrap/>
            <w:hideMark/>
          </w:tcPr>
          <w:p w14:paraId="1EF17C56" w14:textId="77777777" w:rsidR="00D8254E" w:rsidRPr="00F41B98" w:rsidRDefault="00D8254E" w:rsidP="004354BE">
            <w:pPr>
              <w:pStyle w:val="Tabletext"/>
              <w:rPr>
                <w:rFonts w:ascii="Verdana" w:hAnsi="Verdana"/>
                <w:sz w:val="16"/>
              </w:rPr>
            </w:pPr>
            <w:r w:rsidRPr="00F41B98">
              <w:rPr>
                <w:rFonts w:ascii="Verdana" w:hAnsi="Verdana"/>
                <w:sz w:val="16"/>
              </w:rPr>
              <w:t>2005</w:t>
            </w:r>
          </w:p>
        </w:tc>
        <w:tc>
          <w:tcPr>
            <w:tcW w:w="665" w:type="dxa"/>
            <w:noWrap/>
            <w:hideMark/>
          </w:tcPr>
          <w:p w14:paraId="313BB0CE" w14:textId="77777777" w:rsidR="00D8254E" w:rsidRPr="00F41B98" w:rsidRDefault="00D8254E" w:rsidP="004354BE">
            <w:pPr>
              <w:pStyle w:val="Tabletext"/>
              <w:rPr>
                <w:rFonts w:ascii="Verdana" w:hAnsi="Verdana"/>
                <w:sz w:val="16"/>
              </w:rPr>
            </w:pPr>
            <w:r w:rsidRPr="00F41B98">
              <w:rPr>
                <w:rFonts w:ascii="Verdana" w:hAnsi="Verdana"/>
                <w:sz w:val="16"/>
              </w:rPr>
              <w:t>2010</w:t>
            </w:r>
          </w:p>
        </w:tc>
        <w:tc>
          <w:tcPr>
            <w:tcW w:w="664" w:type="dxa"/>
            <w:noWrap/>
            <w:hideMark/>
          </w:tcPr>
          <w:p w14:paraId="59FAA633" w14:textId="77777777" w:rsidR="00D8254E" w:rsidRPr="00F41B98" w:rsidRDefault="00D8254E" w:rsidP="004354BE">
            <w:pPr>
              <w:pStyle w:val="Tabletext"/>
              <w:rPr>
                <w:rFonts w:ascii="Verdana" w:hAnsi="Verdana"/>
                <w:sz w:val="16"/>
              </w:rPr>
            </w:pPr>
            <w:r w:rsidRPr="00F41B98">
              <w:rPr>
                <w:rFonts w:ascii="Verdana" w:hAnsi="Verdana"/>
                <w:sz w:val="16"/>
              </w:rPr>
              <w:t>2011</w:t>
            </w:r>
          </w:p>
        </w:tc>
        <w:tc>
          <w:tcPr>
            <w:tcW w:w="665" w:type="dxa"/>
            <w:noWrap/>
            <w:hideMark/>
          </w:tcPr>
          <w:p w14:paraId="7FC6EAC9" w14:textId="77777777" w:rsidR="00D8254E" w:rsidRPr="00F41B98" w:rsidRDefault="00D8254E" w:rsidP="004354BE">
            <w:pPr>
              <w:pStyle w:val="Tabletext"/>
              <w:rPr>
                <w:rFonts w:ascii="Verdana" w:hAnsi="Verdana"/>
                <w:sz w:val="16"/>
              </w:rPr>
            </w:pPr>
            <w:r w:rsidRPr="00F41B98">
              <w:rPr>
                <w:rFonts w:ascii="Verdana" w:hAnsi="Verdana"/>
                <w:sz w:val="16"/>
              </w:rPr>
              <w:t>2012</w:t>
            </w:r>
          </w:p>
        </w:tc>
        <w:tc>
          <w:tcPr>
            <w:tcW w:w="665" w:type="dxa"/>
            <w:noWrap/>
            <w:hideMark/>
          </w:tcPr>
          <w:p w14:paraId="0D2A0F51" w14:textId="77777777" w:rsidR="00D8254E" w:rsidRPr="00F41B98" w:rsidRDefault="00D8254E" w:rsidP="004354BE">
            <w:pPr>
              <w:pStyle w:val="Tabletext"/>
              <w:rPr>
                <w:rFonts w:ascii="Verdana" w:hAnsi="Verdana"/>
                <w:sz w:val="16"/>
              </w:rPr>
            </w:pPr>
            <w:r w:rsidRPr="00F41B98">
              <w:rPr>
                <w:rFonts w:ascii="Verdana" w:hAnsi="Verdana"/>
                <w:sz w:val="16"/>
              </w:rPr>
              <w:t>2013</w:t>
            </w:r>
          </w:p>
        </w:tc>
        <w:tc>
          <w:tcPr>
            <w:tcW w:w="624" w:type="dxa"/>
            <w:noWrap/>
            <w:hideMark/>
          </w:tcPr>
          <w:p w14:paraId="219A584A" w14:textId="77777777" w:rsidR="00D8254E" w:rsidRPr="00F41B98" w:rsidRDefault="00D8254E" w:rsidP="004354BE">
            <w:pPr>
              <w:pStyle w:val="Tabletext"/>
              <w:rPr>
                <w:rFonts w:ascii="Verdana" w:hAnsi="Verdana"/>
                <w:sz w:val="16"/>
              </w:rPr>
            </w:pPr>
            <w:r w:rsidRPr="00F41B98">
              <w:rPr>
                <w:rFonts w:ascii="Verdana" w:hAnsi="Verdana"/>
                <w:sz w:val="16"/>
              </w:rPr>
              <w:t>2014</w:t>
            </w:r>
          </w:p>
        </w:tc>
        <w:tc>
          <w:tcPr>
            <w:tcW w:w="624" w:type="dxa"/>
            <w:noWrap/>
            <w:hideMark/>
          </w:tcPr>
          <w:p w14:paraId="3939DBC3" w14:textId="77777777" w:rsidR="00D8254E" w:rsidRPr="00F41B98" w:rsidRDefault="00D8254E" w:rsidP="004354BE">
            <w:pPr>
              <w:pStyle w:val="Tabletext"/>
              <w:rPr>
                <w:rFonts w:ascii="Verdana" w:hAnsi="Verdana"/>
                <w:sz w:val="16"/>
              </w:rPr>
            </w:pPr>
            <w:r w:rsidRPr="00F41B98">
              <w:rPr>
                <w:rFonts w:ascii="Verdana" w:hAnsi="Verdana"/>
                <w:sz w:val="16"/>
              </w:rPr>
              <w:t>2015</w:t>
            </w:r>
          </w:p>
        </w:tc>
        <w:tc>
          <w:tcPr>
            <w:tcW w:w="671" w:type="dxa"/>
            <w:noWrap/>
            <w:hideMark/>
          </w:tcPr>
          <w:p w14:paraId="7BB08940" w14:textId="77777777" w:rsidR="00D8254E" w:rsidRPr="00F41B98" w:rsidRDefault="00D8254E" w:rsidP="004354BE">
            <w:pPr>
              <w:pStyle w:val="Tabletext"/>
              <w:rPr>
                <w:rFonts w:ascii="Verdana" w:hAnsi="Verdana"/>
                <w:sz w:val="16"/>
              </w:rPr>
            </w:pPr>
            <w:r w:rsidRPr="00F41B98">
              <w:rPr>
                <w:rFonts w:ascii="Verdana" w:hAnsi="Verdana"/>
                <w:sz w:val="16"/>
              </w:rPr>
              <w:t>2016</w:t>
            </w:r>
          </w:p>
        </w:tc>
        <w:tc>
          <w:tcPr>
            <w:tcW w:w="781" w:type="dxa"/>
            <w:gridSpan w:val="2"/>
            <w:hideMark/>
          </w:tcPr>
          <w:p w14:paraId="3E8E4C0B" w14:textId="77777777" w:rsidR="00D8254E" w:rsidRPr="00F41B98" w:rsidRDefault="00D8254E" w:rsidP="004354BE">
            <w:pPr>
              <w:pStyle w:val="Tabletext"/>
              <w:rPr>
                <w:rFonts w:ascii="Verdana" w:hAnsi="Verdana"/>
                <w:sz w:val="16"/>
              </w:rPr>
            </w:pPr>
            <w:r w:rsidRPr="00F41B98">
              <w:rPr>
                <w:rFonts w:ascii="Verdana" w:hAnsi="Verdana"/>
                <w:sz w:val="16"/>
              </w:rPr>
              <w:t>EU 2020</w:t>
            </w:r>
          </w:p>
        </w:tc>
        <w:tc>
          <w:tcPr>
            <w:tcW w:w="1021" w:type="dxa"/>
            <w:hideMark/>
          </w:tcPr>
          <w:p w14:paraId="74081C22" w14:textId="77777777" w:rsidR="00D8254E" w:rsidRPr="00F41B98" w:rsidRDefault="00D8254E" w:rsidP="004354BE">
            <w:pPr>
              <w:pStyle w:val="Tabletext"/>
              <w:rPr>
                <w:rFonts w:ascii="Verdana" w:hAnsi="Verdana"/>
                <w:sz w:val="16"/>
              </w:rPr>
            </w:pPr>
            <w:r w:rsidRPr="00F41B98">
              <w:rPr>
                <w:rFonts w:ascii="Verdana" w:hAnsi="Verdana"/>
                <w:sz w:val="16"/>
              </w:rPr>
              <w:t>National</w:t>
            </w:r>
          </w:p>
          <w:p w14:paraId="762C31E5" w14:textId="77777777" w:rsidR="00D8254E" w:rsidRPr="00F41B98" w:rsidRDefault="00D8254E" w:rsidP="004354BE">
            <w:pPr>
              <w:pStyle w:val="Tabletext"/>
              <w:rPr>
                <w:rFonts w:ascii="Verdana" w:hAnsi="Verdana"/>
                <w:sz w:val="16"/>
              </w:rPr>
            </w:pPr>
            <w:r w:rsidRPr="00F41B98">
              <w:rPr>
                <w:rFonts w:ascii="Verdana" w:hAnsi="Verdana"/>
                <w:sz w:val="16"/>
              </w:rPr>
              <w:t>2020</w:t>
            </w:r>
          </w:p>
        </w:tc>
      </w:tr>
      <w:tr w:rsidR="00D8254E" w:rsidRPr="00F4539B" w14:paraId="3F575B01" w14:textId="77777777" w:rsidTr="00F32E15">
        <w:trPr>
          <w:gridAfter w:val="1"/>
          <w:wAfter w:w="7" w:type="dxa"/>
          <w:trHeight w:val="427"/>
        </w:trPr>
        <w:tc>
          <w:tcPr>
            <w:tcW w:w="1428" w:type="dxa"/>
            <w:hideMark/>
          </w:tcPr>
          <w:p w14:paraId="76ADF767" w14:textId="77777777" w:rsidR="00D8254E" w:rsidRPr="00F41B98" w:rsidRDefault="00D8254E" w:rsidP="004354BE">
            <w:pPr>
              <w:pStyle w:val="Tabletext"/>
              <w:rPr>
                <w:rFonts w:ascii="Verdana" w:hAnsi="Verdana"/>
                <w:sz w:val="16"/>
              </w:rPr>
            </w:pPr>
            <w:r w:rsidRPr="00F41B98">
              <w:rPr>
                <w:rFonts w:ascii="Verdana" w:hAnsi="Verdana"/>
                <w:sz w:val="16"/>
              </w:rPr>
              <w:t>EU-28 average</w:t>
            </w:r>
          </w:p>
        </w:tc>
        <w:tc>
          <w:tcPr>
            <w:tcW w:w="664" w:type="dxa"/>
            <w:noWrap/>
            <w:hideMark/>
          </w:tcPr>
          <w:p w14:paraId="0AF9338A" w14:textId="77777777" w:rsidR="00D8254E" w:rsidRPr="00F41B98" w:rsidRDefault="00D8254E" w:rsidP="004354BE">
            <w:pPr>
              <w:pStyle w:val="Tabletext"/>
              <w:rPr>
                <w:rFonts w:ascii="Verdana" w:hAnsi="Verdana"/>
                <w:sz w:val="16"/>
              </w:rPr>
            </w:pPr>
            <w:r w:rsidRPr="00F41B98">
              <w:rPr>
                <w:rFonts w:ascii="Verdana" w:hAnsi="Verdana"/>
                <w:sz w:val="16"/>
              </w:rPr>
              <w:t>:</w:t>
            </w:r>
          </w:p>
        </w:tc>
        <w:tc>
          <w:tcPr>
            <w:tcW w:w="665" w:type="dxa"/>
            <w:noWrap/>
            <w:hideMark/>
          </w:tcPr>
          <w:p w14:paraId="153AF832" w14:textId="77777777" w:rsidR="00D8254E" w:rsidRPr="00F41B98" w:rsidRDefault="00D8254E" w:rsidP="004354BE">
            <w:pPr>
              <w:pStyle w:val="Tabletext"/>
              <w:rPr>
                <w:rFonts w:ascii="Verdana" w:hAnsi="Verdana"/>
                <w:sz w:val="16"/>
              </w:rPr>
            </w:pPr>
            <w:r w:rsidRPr="00F41B98">
              <w:rPr>
                <w:rFonts w:ascii="Verdana" w:hAnsi="Verdana"/>
                <w:sz w:val="16"/>
              </w:rPr>
              <w:t>67.9</w:t>
            </w:r>
          </w:p>
        </w:tc>
        <w:tc>
          <w:tcPr>
            <w:tcW w:w="665" w:type="dxa"/>
            <w:noWrap/>
            <w:hideMark/>
          </w:tcPr>
          <w:p w14:paraId="12505F72" w14:textId="77777777" w:rsidR="00D8254E" w:rsidRPr="00F41B98" w:rsidRDefault="00D8254E" w:rsidP="004354BE">
            <w:pPr>
              <w:pStyle w:val="Tabletext"/>
              <w:rPr>
                <w:rFonts w:ascii="Verdana" w:hAnsi="Verdana"/>
                <w:sz w:val="16"/>
              </w:rPr>
            </w:pPr>
            <w:r w:rsidRPr="00F41B98">
              <w:rPr>
                <w:rFonts w:ascii="Verdana" w:hAnsi="Verdana"/>
                <w:sz w:val="16"/>
              </w:rPr>
              <w:t>68.6</w:t>
            </w:r>
          </w:p>
        </w:tc>
        <w:tc>
          <w:tcPr>
            <w:tcW w:w="664" w:type="dxa"/>
            <w:noWrap/>
            <w:hideMark/>
          </w:tcPr>
          <w:p w14:paraId="306A649E" w14:textId="77777777" w:rsidR="00D8254E" w:rsidRPr="00F41B98" w:rsidRDefault="00D8254E" w:rsidP="004354BE">
            <w:pPr>
              <w:pStyle w:val="Tabletext"/>
              <w:rPr>
                <w:rFonts w:ascii="Verdana" w:hAnsi="Verdana"/>
                <w:sz w:val="16"/>
              </w:rPr>
            </w:pPr>
            <w:r w:rsidRPr="00F41B98">
              <w:rPr>
                <w:rFonts w:ascii="Verdana" w:hAnsi="Verdana"/>
                <w:sz w:val="16"/>
              </w:rPr>
              <w:t>68.6</w:t>
            </w:r>
          </w:p>
        </w:tc>
        <w:tc>
          <w:tcPr>
            <w:tcW w:w="665" w:type="dxa"/>
            <w:noWrap/>
            <w:hideMark/>
          </w:tcPr>
          <w:p w14:paraId="7CA2D0D2" w14:textId="77777777" w:rsidR="00D8254E" w:rsidRPr="00F41B98" w:rsidRDefault="00D8254E" w:rsidP="004354BE">
            <w:pPr>
              <w:pStyle w:val="Tabletext"/>
              <w:rPr>
                <w:rFonts w:ascii="Verdana" w:hAnsi="Verdana"/>
                <w:sz w:val="16"/>
              </w:rPr>
            </w:pPr>
            <w:r w:rsidRPr="00F41B98">
              <w:rPr>
                <w:rFonts w:ascii="Verdana" w:hAnsi="Verdana"/>
                <w:sz w:val="16"/>
              </w:rPr>
              <w:t>68.4</w:t>
            </w:r>
          </w:p>
        </w:tc>
        <w:tc>
          <w:tcPr>
            <w:tcW w:w="665" w:type="dxa"/>
            <w:noWrap/>
            <w:hideMark/>
          </w:tcPr>
          <w:p w14:paraId="0D31F6D0" w14:textId="77777777" w:rsidR="00D8254E" w:rsidRPr="00F41B98" w:rsidRDefault="00D8254E" w:rsidP="004354BE">
            <w:pPr>
              <w:pStyle w:val="Tabletext"/>
              <w:rPr>
                <w:rFonts w:ascii="Verdana" w:hAnsi="Verdana"/>
                <w:sz w:val="16"/>
              </w:rPr>
            </w:pPr>
            <w:r w:rsidRPr="00F41B98">
              <w:rPr>
                <w:rFonts w:ascii="Verdana" w:hAnsi="Verdana"/>
                <w:sz w:val="16"/>
              </w:rPr>
              <w:t>68.4</w:t>
            </w:r>
          </w:p>
        </w:tc>
        <w:tc>
          <w:tcPr>
            <w:tcW w:w="624" w:type="dxa"/>
            <w:noWrap/>
            <w:hideMark/>
          </w:tcPr>
          <w:p w14:paraId="50D63A0A" w14:textId="77777777" w:rsidR="00D8254E" w:rsidRPr="00F41B98" w:rsidRDefault="00D8254E" w:rsidP="004354BE">
            <w:pPr>
              <w:pStyle w:val="Tabletext"/>
              <w:rPr>
                <w:rFonts w:ascii="Verdana" w:hAnsi="Verdana"/>
                <w:sz w:val="16"/>
              </w:rPr>
            </w:pPr>
            <w:r w:rsidRPr="00F41B98">
              <w:rPr>
                <w:rFonts w:ascii="Verdana" w:hAnsi="Verdana"/>
                <w:sz w:val="16"/>
              </w:rPr>
              <w:t>69.2</w:t>
            </w:r>
          </w:p>
        </w:tc>
        <w:tc>
          <w:tcPr>
            <w:tcW w:w="624" w:type="dxa"/>
            <w:noWrap/>
            <w:hideMark/>
          </w:tcPr>
          <w:p w14:paraId="457D7F7A" w14:textId="77777777" w:rsidR="00D8254E" w:rsidRPr="00F41B98" w:rsidRDefault="00D8254E" w:rsidP="004354BE">
            <w:pPr>
              <w:pStyle w:val="Tabletext"/>
              <w:rPr>
                <w:rFonts w:ascii="Verdana" w:hAnsi="Verdana"/>
                <w:sz w:val="16"/>
              </w:rPr>
            </w:pPr>
            <w:r w:rsidRPr="00F41B98">
              <w:rPr>
                <w:rFonts w:ascii="Verdana" w:hAnsi="Verdana"/>
                <w:sz w:val="16"/>
              </w:rPr>
              <w:t>70</w:t>
            </w:r>
          </w:p>
        </w:tc>
        <w:tc>
          <w:tcPr>
            <w:tcW w:w="671" w:type="dxa"/>
            <w:noWrap/>
            <w:hideMark/>
          </w:tcPr>
          <w:p w14:paraId="7A905018" w14:textId="77777777" w:rsidR="00D8254E" w:rsidRPr="00F41B98" w:rsidRDefault="00D8254E" w:rsidP="004354BE">
            <w:pPr>
              <w:pStyle w:val="Tabletext"/>
              <w:rPr>
                <w:rFonts w:ascii="Verdana" w:hAnsi="Verdana"/>
                <w:sz w:val="16"/>
              </w:rPr>
            </w:pPr>
            <w:r w:rsidRPr="00F41B98">
              <w:rPr>
                <w:rFonts w:ascii="Verdana" w:hAnsi="Verdana"/>
                <w:sz w:val="16"/>
              </w:rPr>
              <w:t>71</w:t>
            </w:r>
          </w:p>
        </w:tc>
        <w:tc>
          <w:tcPr>
            <w:tcW w:w="781" w:type="dxa"/>
            <w:gridSpan w:val="2"/>
            <w:vMerge w:val="restart"/>
            <w:hideMark/>
          </w:tcPr>
          <w:p w14:paraId="0D5DB4B0" w14:textId="77777777" w:rsidR="00D8254E" w:rsidRPr="00F41B98" w:rsidRDefault="00D8254E" w:rsidP="004354BE">
            <w:pPr>
              <w:pStyle w:val="Tabletext"/>
              <w:rPr>
                <w:rFonts w:ascii="Verdana" w:hAnsi="Verdana"/>
                <w:sz w:val="16"/>
              </w:rPr>
            </w:pPr>
            <w:r w:rsidRPr="00F41B98">
              <w:rPr>
                <w:rFonts w:ascii="Verdana" w:hAnsi="Verdana"/>
                <w:sz w:val="16"/>
              </w:rPr>
              <w:t>75% of the 20-64 year-olds in employment</w:t>
            </w:r>
          </w:p>
        </w:tc>
        <w:tc>
          <w:tcPr>
            <w:tcW w:w="1021" w:type="dxa"/>
            <w:vMerge w:val="restart"/>
            <w:hideMark/>
          </w:tcPr>
          <w:p w14:paraId="5EE9831A" w14:textId="77777777" w:rsidR="00D8254E" w:rsidRPr="00F41B98" w:rsidRDefault="00D8254E" w:rsidP="004354BE">
            <w:pPr>
              <w:pStyle w:val="Tabletext"/>
              <w:rPr>
                <w:rFonts w:ascii="Verdana" w:hAnsi="Verdana"/>
                <w:sz w:val="16"/>
              </w:rPr>
            </w:pPr>
            <w:r w:rsidRPr="00F41B98">
              <w:rPr>
                <w:rFonts w:ascii="Verdana" w:hAnsi="Verdana"/>
                <w:sz w:val="16"/>
              </w:rPr>
              <w:t>75%</w:t>
            </w:r>
          </w:p>
        </w:tc>
      </w:tr>
      <w:tr w:rsidR="00D8254E" w:rsidRPr="00F4539B" w14:paraId="019D1C30" w14:textId="77777777" w:rsidTr="00F32E15">
        <w:trPr>
          <w:gridAfter w:val="1"/>
          <w:wAfter w:w="7" w:type="dxa"/>
          <w:trHeight w:val="377"/>
        </w:trPr>
        <w:tc>
          <w:tcPr>
            <w:tcW w:w="1428" w:type="dxa"/>
          </w:tcPr>
          <w:p w14:paraId="154B180C" w14:textId="77777777" w:rsidR="00D8254E" w:rsidRPr="00F41B98" w:rsidRDefault="00D8254E" w:rsidP="004354BE">
            <w:pPr>
              <w:pStyle w:val="Tabletext"/>
              <w:rPr>
                <w:rFonts w:ascii="Verdana" w:hAnsi="Verdana"/>
                <w:sz w:val="16"/>
              </w:rPr>
            </w:pPr>
            <w:r w:rsidRPr="00F41B98">
              <w:rPr>
                <w:rFonts w:ascii="Verdana" w:hAnsi="Verdana"/>
                <w:sz w:val="16"/>
              </w:rPr>
              <w:t>Portugal</w:t>
            </w:r>
          </w:p>
          <w:p w14:paraId="7CE6404C" w14:textId="77777777" w:rsidR="00D8254E" w:rsidRPr="00F41B98" w:rsidRDefault="00D8254E" w:rsidP="004354BE">
            <w:pPr>
              <w:pStyle w:val="Tabletext"/>
              <w:rPr>
                <w:rFonts w:ascii="Verdana" w:hAnsi="Verdana"/>
                <w:sz w:val="16"/>
              </w:rPr>
            </w:pPr>
          </w:p>
        </w:tc>
        <w:tc>
          <w:tcPr>
            <w:tcW w:w="664" w:type="dxa"/>
            <w:noWrap/>
            <w:hideMark/>
          </w:tcPr>
          <w:p w14:paraId="283DAFCD" w14:textId="77777777" w:rsidR="00D8254E" w:rsidRPr="00F41B98" w:rsidRDefault="00D8254E" w:rsidP="004354BE">
            <w:pPr>
              <w:pStyle w:val="Tabletext"/>
              <w:rPr>
                <w:rFonts w:ascii="Verdana" w:hAnsi="Verdana"/>
                <w:sz w:val="16"/>
              </w:rPr>
            </w:pPr>
            <w:r w:rsidRPr="00F41B98">
              <w:rPr>
                <w:rFonts w:ascii="Verdana" w:hAnsi="Verdana"/>
                <w:sz w:val="16"/>
              </w:rPr>
              <w:t>73.4</w:t>
            </w:r>
          </w:p>
        </w:tc>
        <w:tc>
          <w:tcPr>
            <w:tcW w:w="665" w:type="dxa"/>
            <w:noWrap/>
            <w:hideMark/>
          </w:tcPr>
          <w:p w14:paraId="618E1F9E" w14:textId="77777777" w:rsidR="00D8254E" w:rsidRPr="00F41B98" w:rsidRDefault="00D8254E" w:rsidP="004354BE">
            <w:pPr>
              <w:pStyle w:val="Tabletext"/>
              <w:rPr>
                <w:rFonts w:ascii="Verdana" w:hAnsi="Verdana"/>
                <w:sz w:val="16"/>
              </w:rPr>
            </w:pPr>
            <w:r w:rsidRPr="00F41B98">
              <w:rPr>
                <w:rFonts w:ascii="Verdana" w:hAnsi="Verdana"/>
                <w:sz w:val="16"/>
              </w:rPr>
              <w:t>72.2</w:t>
            </w:r>
          </w:p>
        </w:tc>
        <w:tc>
          <w:tcPr>
            <w:tcW w:w="665" w:type="dxa"/>
            <w:noWrap/>
            <w:hideMark/>
          </w:tcPr>
          <w:p w14:paraId="245FC991" w14:textId="77777777" w:rsidR="00D8254E" w:rsidRPr="00F41B98" w:rsidRDefault="00D8254E" w:rsidP="004354BE">
            <w:pPr>
              <w:pStyle w:val="Tabletext"/>
              <w:rPr>
                <w:rFonts w:ascii="Verdana" w:hAnsi="Verdana"/>
                <w:sz w:val="16"/>
              </w:rPr>
            </w:pPr>
            <w:r w:rsidRPr="00F41B98">
              <w:rPr>
                <w:rFonts w:ascii="Verdana" w:hAnsi="Verdana"/>
                <w:sz w:val="16"/>
              </w:rPr>
              <w:t>70.3</w:t>
            </w:r>
          </w:p>
        </w:tc>
        <w:tc>
          <w:tcPr>
            <w:tcW w:w="664" w:type="dxa"/>
            <w:noWrap/>
            <w:hideMark/>
          </w:tcPr>
          <w:p w14:paraId="09C47900" w14:textId="77777777" w:rsidR="00D8254E" w:rsidRPr="00F41B98" w:rsidRDefault="00D8254E" w:rsidP="004354BE">
            <w:pPr>
              <w:pStyle w:val="Tabletext"/>
              <w:rPr>
                <w:rFonts w:ascii="Verdana" w:hAnsi="Verdana"/>
                <w:sz w:val="16"/>
              </w:rPr>
            </w:pPr>
            <w:r w:rsidRPr="00F41B98">
              <w:rPr>
                <w:rFonts w:ascii="Verdana" w:hAnsi="Verdana"/>
                <w:sz w:val="16"/>
              </w:rPr>
              <w:t>68.8</w:t>
            </w:r>
          </w:p>
        </w:tc>
        <w:tc>
          <w:tcPr>
            <w:tcW w:w="665" w:type="dxa"/>
            <w:noWrap/>
            <w:hideMark/>
          </w:tcPr>
          <w:p w14:paraId="5162A6C0" w14:textId="77777777" w:rsidR="00D8254E" w:rsidRPr="00F41B98" w:rsidRDefault="00D8254E" w:rsidP="004354BE">
            <w:pPr>
              <w:pStyle w:val="Tabletext"/>
              <w:rPr>
                <w:rFonts w:ascii="Verdana" w:hAnsi="Verdana"/>
                <w:sz w:val="16"/>
              </w:rPr>
            </w:pPr>
            <w:r w:rsidRPr="00F41B98">
              <w:rPr>
                <w:rFonts w:ascii="Verdana" w:hAnsi="Verdana"/>
                <w:sz w:val="16"/>
              </w:rPr>
              <w:t>66.3</w:t>
            </w:r>
          </w:p>
        </w:tc>
        <w:tc>
          <w:tcPr>
            <w:tcW w:w="665" w:type="dxa"/>
            <w:noWrap/>
            <w:hideMark/>
          </w:tcPr>
          <w:p w14:paraId="50A404F7" w14:textId="77777777" w:rsidR="00D8254E" w:rsidRPr="00F41B98" w:rsidRDefault="00D8254E" w:rsidP="004354BE">
            <w:pPr>
              <w:pStyle w:val="Tabletext"/>
              <w:rPr>
                <w:rFonts w:ascii="Verdana" w:hAnsi="Verdana"/>
                <w:sz w:val="16"/>
              </w:rPr>
            </w:pPr>
            <w:r w:rsidRPr="00F41B98">
              <w:rPr>
                <w:rFonts w:ascii="Verdana" w:hAnsi="Verdana"/>
                <w:sz w:val="16"/>
              </w:rPr>
              <w:t>65.4</w:t>
            </w:r>
          </w:p>
        </w:tc>
        <w:tc>
          <w:tcPr>
            <w:tcW w:w="624" w:type="dxa"/>
            <w:noWrap/>
            <w:hideMark/>
          </w:tcPr>
          <w:p w14:paraId="3F5F632E" w14:textId="77777777" w:rsidR="00D8254E" w:rsidRPr="00F41B98" w:rsidRDefault="00D8254E" w:rsidP="004354BE">
            <w:pPr>
              <w:pStyle w:val="Tabletext"/>
              <w:rPr>
                <w:rFonts w:ascii="Verdana" w:hAnsi="Verdana"/>
                <w:sz w:val="16"/>
              </w:rPr>
            </w:pPr>
            <w:r w:rsidRPr="00F41B98">
              <w:rPr>
                <w:rFonts w:ascii="Verdana" w:hAnsi="Verdana"/>
                <w:sz w:val="16"/>
              </w:rPr>
              <w:t>67.6</w:t>
            </w:r>
          </w:p>
        </w:tc>
        <w:tc>
          <w:tcPr>
            <w:tcW w:w="624" w:type="dxa"/>
            <w:noWrap/>
            <w:hideMark/>
          </w:tcPr>
          <w:p w14:paraId="496CA152" w14:textId="77777777" w:rsidR="00D8254E" w:rsidRPr="00F41B98" w:rsidRDefault="00D8254E" w:rsidP="004354BE">
            <w:pPr>
              <w:pStyle w:val="Tabletext"/>
              <w:rPr>
                <w:rFonts w:ascii="Verdana" w:hAnsi="Verdana"/>
                <w:sz w:val="16"/>
              </w:rPr>
            </w:pPr>
            <w:r w:rsidRPr="00F41B98">
              <w:rPr>
                <w:rFonts w:ascii="Verdana" w:hAnsi="Verdana"/>
                <w:sz w:val="16"/>
              </w:rPr>
              <w:t>69.1</w:t>
            </w:r>
          </w:p>
        </w:tc>
        <w:tc>
          <w:tcPr>
            <w:tcW w:w="671" w:type="dxa"/>
            <w:noWrap/>
            <w:hideMark/>
          </w:tcPr>
          <w:p w14:paraId="677596CF" w14:textId="77777777" w:rsidR="00D8254E" w:rsidRPr="00F41B98" w:rsidRDefault="00D8254E" w:rsidP="004354BE">
            <w:pPr>
              <w:pStyle w:val="Tabletext"/>
              <w:rPr>
                <w:rFonts w:ascii="Verdana" w:hAnsi="Verdana"/>
                <w:sz w:val="16"/>
              </w:rPr>
            </w:pPr>
            <w:r w:rsidRPr="00F41B98">
              <w:rPr>
                <w:rFonts w:ascii="Verdana" w:hAnsi="Verdana"/>
                <w:sz w:val="16"/>
              </w:rPr>
              <w:t>70.6</w:t>
            </w:r>
          </w:p>
        </w:tc>
        <w:tc>
          <w:tcPr>
            <w:tcW w:w="781" w:type="dxa"/>
            <w:gridSpan w:val="2"/>
            <w:vMerge/>
            <w:hideMark/>
          </w:tcPr>
          <w:p w14:paraId="2527831B" w14:textId="77777777" w:rsidR="00D8254E" w:rsidRPr="00F4539B" w:rsidRDefault="00D8254E" w:rsidP="004354BE">
            <w:pPr>
              <w:pStyle w:val="Tabletext"/>
              <w:rPr>
                <w:rFonts w:ascii="Verdana" w:hAnsi="Verdana"/>
              </w:rPr>
            </w:pPr>
          </w:p>
        </w:tc>
        <w:tc>
          <w:tcPr>
            <w:tcW w:w="1021" w:type="dxa"/>
            <w:vMerge/>
            <w:hideMark/>
          </w:tcPr>
          <w:p w14:paraId="77DD589B" w14:textId="77777777" w:rsidR="00D8254E" w:rsidRPr="00F4539B" w:rsidRDefault="00D8254E" w:rsidP="004354BE">
            <w:pPr>
              <w:pStyle w:val="Tabletext"/>
              <w:rPr>
                <w:rFonts w:ascii="Verdana" w:hAnsi="Verdana"/>
              </w:rPr>
            </w:pPr>
          </w:p>
        </w:tc>
      </w:tr>
    </w:tbl>
    <w:p w14:paraId="034F03E1" w14:textId="77777777" w:rsidR="00D8254E" w:rsidRPr="00F32E15" w:rsidRDefault="00D8254E" w:rsidP="00F41B98">
      <w:pPr>
        <w:pStyle w:val="Body"/>
        <w:spacing w:before="0" w:beforeAutospacing="0" w:after="0" w:afterAutospacing="0"/>
        <w:rPr>
          <w:i/>
          <w:lang w:val="en-GB"/>
        </w:rPr>
      </w:pPr>
      <w:r w:rsidRPr="00F32E15">
        <w:rPr>
          <w:i/>
          <w:u w:val="single"/>
          <w:lang w:val="en-GB"/>
        </w:rPr>
        <w:t>Source:</w:t>
      </w:r>
      <w:r w:rsidRPr="00F32E15">
        <w:rPr>
          <w:i/>
          <w:lang w:val="en-GB"/>
        </w:rPr>
        <w:t xml:space="preserve"> Employment rates by age and educational attainment level (%) Eurostat code lfsa_ergaed, last updated 25 April 2017.</w:t>
      </w:r>
    </w:p>
    <w:p w14:paraId="2BD3EF09" w14:textId="1BF09CB2" w:rsidR="00D8254E" w:rsidRPr="00F32E15" w:rsidRDefault="00D8254E" w:rsidP="00F41B98">
      <w:pPr>
        <w:pStyle w:val="Body"/>
        <w:spacing w:before="0" w:beforeAutospacing="0" w:after="0" w:afterAutospacing="0"/>
        <w:rPr>
          <w:i/>
          <w:lang w:val="en-GB"/>
        </w:rPr>
      </w:pPr>
      <w:r w:rsidRPr="00F32E15">
        <w:rPr>
          <w:i/>
          <w:u w:val="single"/>
          <w:lang w:val="en-GB"/>
        </w:rPr>
        <w:t>Explanatory note:</w:t>
      </w:r>
      <w:r w:rsidRPr="00F32E15">
        <w:rPr>
          <w:i/>
          <w:lang w:val="en-GB"/>
        </w:rPr>
        <w:t xml:space="preserve"> This table compares the average employment rate of the population (ISCED all levels) aged 20 to 64 in a given Member State over the period 2000-2016 to EU targets and average, including the EU2020 target, national 2020 targets and the average EU employment rate for 2016. </w:t>
      </w:r>
    </w:p>
    <w:p w14:paraId="321A2799" w14:textId="0A4DABEE" w:rsidR="00D8254E" w:rsidRPr="00F32E15" w:rsidRDefault="00F4539B" w:rsidP="00D8254E">
      <w:pPr>
        <w:pStyle w:val="Body"/>
        <w:rPr>
          <w:i/>
          <w:lang w:val="en-GB"/>
        </w:rPr>
      </w:pPr>
      <w:r w:rsidRPr="00F32E15">
        <w:rPr>
          <w:i/>
          <w:lang w:val="en-GB"/>
        </w:rPr>
        <w:t>-</w:t>
      </w:r>
      <w:r w:rsidR="00D8254E" w:rsidRPr="00F32E15">
        <w:rPr>
          <w:i/>
          <w:lang w:val="en-GB"/>
        </w:rPr>
        <w:t>Comparison to EU data:</w:t>
      </w:r>
    </w:p>
    <w:p w14:paraId="306DF113" w14:textId="77777777" w:rsidR="00D8254E" w:rsidRPr="00F32E15" w:rsidRDefault="00D8254E" w:rsidP="00D8254E">
      <w:pPr>
        <w:pStyle w:val="Body"/>
        <w:rPr>
          <w:lang w:val="en-GB"/>
        </w:rPr>
      </w:pPr>
      <w:r w:rsidRPr="00F32E15">
        <w:rPr>
          <w:lang w:val="en-GB"/>
        </w:rPr>
        <w:t>From 2000 to 2013, employment rates have decreased (from 73.4% to 65.4%). From 2014 to 2016, this rate has been increasing (from 67.6% to 70.6%); however, this increase has not been enough to obtain the Portuguese rate from 2000 (73.4%), neither the EU-28 average in 2016 (71%), nor national 2020 and EU2020 targets (both of 75%).</w:t>
      </w:r>
    </w:p>
    <w:p w14:paraId="04C62D3D" w14:textId="1D586574" w:rsidR="00D8254E" w:rsidRPr="00F32E15" w:rsidRDefault="00F4539B" w:rsidP="00D8254E">
      <w:pPr>
        <w:pStyle w:val="Body"/>
        <w:rPr>
          <w:i/>
          <w:lang w:val="en-GB"/>
        </w:rPr>
      </w:pPr>
      <w:r w:rsidRPr="00F32E15">
        <w:rPr>
          <w:i/>
          <w:lang w:val="en-GB"/>
        </w:rPr>
        <w:t>-</w:t>
      </w:r>
      <w:r w:rsidR="00D8254E" w:rsidRPr="00F32E15">
        <w:rPr>
          <w:i/>
          <w:lang w:val="en-GB"/>
        </w:rPr>
        <w:t>Evolution over time</w:t>
      </w:r>
    </w:p>
    <w:p w14:paraId="41C22DA4" w14:textId="77777777" w:rsidR="00D8254E" w:rsidRPr="00F32E15" w:rsidRDefault="00D8254E" w:rsidP="00F4539B">
      <w:pPr>
        <w:pStyle w:val="Body"/>
        <w:rPr>
          <w:lang w:val="en-GB"/>
        </w:rPr>
      </w:pPr>
      <w:r w:rsidRPr="00F32E15">
        <w:rPr>
          <w:lang w:val="en-GB"/>
        </w:rPr>
        <w:t>Therefore, since 2000, the Portuguese economy has showed a significant reduction of employment rate that the international crises of 2008 and the adjustment policies (imposed by the European Commission, European Central Bank and International Monetary Fund in 2011)</w:t>
      </w:r>
      <w:r w:rsidRPr="004F3D43">
        <w:rPr>
          <w:rStyle w:val="FootnoteReference"/>
        </w:rPr>
        <w:footnoteReference w:id="1"/>
      </w:r>
      <w:r w:rsidRPr="00F32E15">
        <w:rPr>
          <w:lang w:val="en-GB"/>
        </w:rPr>
        <w:t xml:space="preserve"> have reinforced. 2013 had shown the lowest employment rate. From 2014 to 2016 there has been a recovery of employment rate, due to economic growth and labour market improvement; however, the employment rate from 2016 (70.6%) is lower from the one from 2000 (73.4%).</w:t>
      </w:r>
    </w:p>
    <w:p w14:paraId="37614360" w14:textId="052CA802" w:rsidR="00D8254E" w:rsidRPr="00F32E15" w:rsidRDefault="00D8254E" w:rsidP="00F4539B">
      <w:pPr>
        <w:pStyle w:val="Body"/>
        <w:rPr>
          <w:lang w:val="en-GB"/>
        </w:rPr>
      </w:pPr>
      <w:r w:rsidRPr="00F32E15">
        <w:rPr>
          <w:lang w:val="en-GB"/>
        </w:rPr>
        <w:lastRenderedPageBreak/>
        <w:t>The increase of the employment rate is also visible in economic sector activity. In 2016 the total number of job was approx. of 4.6 million</w:t>
      </w:r>
      <w:r w:rsidRPr="004F3D43">
        <w:rPr>
          <w:rStyle w:val="FootnoteReference"/>
        </w:rPr>
        <w:footnoteReference w:id="2"/>
      </w:r>
      <w:r w:rsidRPr="00F32E15">
        <w:rPr>
          <w:lang w:val="en-GB"/>
        </w:rPr>
        <w:t>, which was the best year since 2013 when the lowest number of jobs was observed (4.4 million</w:t>
      </w:r>
      <w:r w:rsidRPr="004F3D43">
        <w:rPr>
          <w:rStyle w:val="FootnoteReference"/>
        </w:rPr>
        <w:footnoteReference w:id="3"/>
      </w:r>
      <w:r w:rsidRPr="00F32E15">
        <w:rPr>
          <w:lang w:val="en-GB"/>
        </w:rPr>
        <w:t xml:space="preserve">). Additionally, in the last 40 years, since the Democratic Revolution in 1974, the majority of jobs created were in service industries. In 1974 there were approximately 1.1 million jobs, a regular increase could be observed up until 2008 (approx. 3 million in 2008) whilst there was a slight decrease from 2008 up until 2012 (approx. 2.9 million). From then there was a recovery and in 2016 there were more than 3.1 million jobs in service industries. In industry, the number of jobs increased between 1974 (approx. 1.2 million) and 2000 (approx. 1.7 million). Since 2002 a decrease can be observed until the number in 2013 of approx. </w:t>
      </w:r>
      <w:r w:rsidR="0004580B" w:rsidRPr="00F32E15">
        <w:rPr>
          <w:lang w:val="en-GB"/>
        </w:rPr>
        <w:t>More</w:t>
      </w:r>
      <w:r w:rsidRPr="00F32E15">
        <w:rPr>
          <w:lang w:val="en-GB"/>
        </w:rPr>
        <w:t xml:space="preserve"> than 1 million. A recovery can also be observed in 2014, 2015 and 2016. However, in agriculture the trend is of decrease from more than 1.2 million jobs in 1974 there was a constant decrease to 2016 (the total then being approx. 318,000)</w:t>
      </w:r>
      <w:r w:rsidRPr="00F14E11">
        <w:rPr>
          <w:rStyle w:val="FootnoteReference"/>
        </w:rPr>
        <w:footnoteReference w:id="4"/>
      </w:r>
      <w:r w:rsidRPr="00F32E15">
        <w:rPr>
          <w:lang w:val="en-GB"/>
        </w:rPr>
        <w:t>.</w:t>
      </w:r>
    </w:p>
    <w:p w14:paraId="29629D88" w14:textId="77777777" w:rsidR="00D8254E" w:rsidRPr="00F32E15" w:rsidRDefault="00D8254E" w:rsidP="00F4539B">
      <w:pPr>
        <w:pStyle w:val="Body"/>
        <w:rPr>
          <w:lang w:val="en-GB"/>
        </w:rPr>
      </w:pPr>
      <w:r w:rsidRPr="00F32E15">
        <w:rPr>
          <w:lang w:val="en-GB"/>
        </w:rPr>
        <w:t>The importance of services industries, namely financial services, transports, energy, communication sector, civil construction, commerce and distribution, hides the lack of relevance assumed by industries that have a low added value, very much exposed to international competitiveness, and with low technological intensity</w:t>
      </w:r>
      <w:r w:rsidRPr="00F14E11">
        <w:rPr>
          <w:rStyle w:val="FootnoteReference"/>
        </w:rPr>
        <w:footnoteReference w:id="5"/>
      </w:r>
      <w:r w:rsidRPr="00F32E15">
        <w:rPr>
          <w:lang w:val="en-GB"/>
        </w:rPr>
        <w:t>.</w:t>
      </w:r>
    </w:p>
    <w:p w14:paraId="78B808C4" w14:textId="25E3AEF0" w:rsidR="00D8254E" w:rsidRPr="00F32E15" w:rsidRDefault="00D8254E" w:rsidP="00F4539B">
      <w:pPr>
        <w:pStyle w:val="Body"/>
        <w:rPr>
          <w:lang w:val="en-GB"/>
        </w:rPr>
      </w:pPr>
      <w:r w:rsidRPr="00F32E15">
        <w:rPr>
          <w:lang w:val="en-GB"/>
        </w:rPr>
        <w:t>According to the latest Eurostat data</w:t>
      </w:r>
      <w:r w:rsidRPr="00F14E11">
        <w:rPr>
          <w:rStyle w:val="FootnoteReference"/>
        </w:rPr>
        <w:footnoteReference w:id="6"/>
      </w:r>
      <w:r w:rsidRPr="00F32E15">
        <w:rPr>
          <w:lang w:val="en-GB"/>
        </w:rPr>
        <w:t>, unemployment increased from 12.7% (in 2011) to 16.2% (in 2013) and decreased to 9.8%% (in April 2017). Long term-unemployment in 2015 was 7.2%</w:t>
      </w:r>
      <w:r w:rsidRPr="00F14E11">
        <w:rPr>
          <w:rStyle w:val="FootnoteReference"/>
        </w:rPr>
        <w:footnoteReference w:id="7"/>
      </w:r>
      <w:r w:rsidRPr="00F32E15">
        <w:rPr>
          <w:lang w:val="en-GB"/>
        </w:rPr>
        <w:t>. In spite of the trend of decrease in unemployment, some authors have called the attention towards unemployed people that are out of unemployment statistics, due to the fact that they are joining programmes of vocational education and training of the Portuguese institute of employment and vocational education and training</w:t>
      </w:r>
      <w:r w:rsidRPr="00F14E11">
        <w:rPr>
          <w:rStyle w:val="FootnoteReference"/>
        </w:rPr>
        <w:footnoteReference w:id="8"/>
      </w:r>
      <w:r w:rsidRPr="00F32E15">
        <w:rPr>
          <w:lang w:val="en-GB"/>
        </w:rPr>
        <w:t xml:space="preserve"> or are not accountable in existing statistics. This situation involves considering that the decrease in unemployment is not </w:t>
      </w:r>
      <w:proofErr w:type="gramStart"/>
      <w:r w:rsidRPr="00F32E15">
        <w:rPr>
          <w:lang w:val="en-GB"/>
        </w:rPr>
        <w:t>so</w:t>
      </w:r>
      <w:proofErr w:type="gramEnd"/>
      <w:r w:rsidRPr="00F32E15">
        <w:rPr>
          <w:lang w:val="en-GB"/>
        </w:rPr>
        <w:t xml:space="preserve"> expressive as statistics may show</w:t>
      </w:r>
      <w:r w:rsidRPr="00F14E11">
        <w:rPr>
          <w:rStyle w:val="FootnoteReference"/>
        </w:rPr>
        <w:footnoteReference w:id="9"/>
      </w:r>
      <w:r w:rsidRPr="00F32E15">
        <w:rPr>
          <w:lang w:val="en-GB"/>
        </w:rPr>
        <w:t>.</w:t>
      </w:r>
    </w:p>
    <w:p w14:paraId="448FA1C2" w14:textId="77777777" w:rsidR="0004580B" w:rsidRPr="004E3A2C" w:rsidRDefault="0004580B" w:rsidP="00F41B98">
      <w:pPr>
        <w:pStyle w:val="Heading3"/>
      </w:pPr>
      <w:bookmarkStart w:id="3" w:name="_Toc465634124"/>
      <w:bookmarkStart w:id="4" w:name="_Toc465634035"/>
      <w:bookmarkStart w:id="5" w:name="_Toc465437432"/>
      <w:bookmarkStart w:id="6" w:name="_Toc463354820"/>
      <w:bookmarkStart w:id="7" w:name="_Toc463354774"/>
      <w:bookmarkStart w:id="8" w:name="_Toc484689402"/>
      <w:r w:rsidRPr="004E3A2C">
        <w:t xml:space="preserve">Participation </w:t>
      </w:r>
      <w:bookmarkEnd w:id="3"/>
      <w:bookmarkEnd w:id="4"/>
      <w:bookmarkEnd w:id="5"/>
      <w:bookmarkEnd w:id="6"/>
      <w:bookmarkEnd w:id="7"/>
      <w:r w:rsidRPr="004E3A2C">
        <w:t>rate – entire population</w:t>
      </w:r>
      <w:bookmarkEnd w:id="8"/>
    </w:p>
    <w:p w14:paraId="2B02AB06" w14:textId="77777777" w:rsidR="00F41B98" w:rsidRDefault="00F41B98">
      <w:pPr>
        <w:spacing w:after="0"/>
        <w:jc w:val="left"/>
        <w:rPr>
          <w:rFonts w:ascii="Verdana" w:hAnsi="Verdana"/>
          <w:b/>
          <w:sz w:val="20"/>
        </w:rPr>
      </w:pPr>
      <w:r>
        <w:rPr>
          <w:b/>
        </w:rPr>
        <w:br w:type="page"/>
      </w:r>
    </w:p>
    <w:p w14:paraId="553D5F80" w14:textId="61F910B4" w:rsidR="0004580B" w:rsidRPr="00F32E15" w:rsidRDefault="0004580B" w:rsidP="0004580B">
      <w:pPr>
        <w:pStyle w:val="Body"/>
        <w:rPr>
          <w:b/>
          <w:lang w:val="en-GB"/>
        </w:rPr>
      </w:pPr>
      <w:r w:rsidRPr="00F32E15">
        <w:rPr>
          <w:b/>
          <w:lang w:val="en-GB"/>
        </w:rPr>
        <w:lastRenderedPageBreak/>
        <w:t xml:space="preserve">Table </w:t>
      </w:r>
      <w:r w:rsidRPr="0004580B">
        <w:rPr>
          <w:b/>
        </w:rPr>
        <w:fldChar w:fldCharType="begin"/>
      </w:r>
      <w:r w:rsidRPr="00F32E15">
        <w:rPr>
          <w:b/>
          <w:lang w:val="en-GB"/>
        </w:rPr>
        <w:instrText xml:space="preserve"> STYLEREF 1 \s </w:instrText>
      </w:r>
      <w:r w:rsidRPr="0004580B">
        <w:rPr>
          <w:b/>
        </w:rPr>
        <w:fldChar w:fldCharType="separate"/>
      </w:r>
      <w:r w:rsidRPr="00F32E15">
        <w:rPr>
          <w:b/>
          <w:lang w:val="en-GB"/>
        </w:rPr>
        <w:t>1</w:t>
      </w:r>
      <w:r w:rsidRPr="0004580B">
        <w:rPr>
          <w:b/>
        </w:rPr>
        <w:fldChar w:fldCharType="end"/>
      </w:r>
      <w:r w:rsidRPr="00F32E15">
        <w:rPr>
          <w:b/>
          <w:lang w:val="en-GB"/>
        </w:rPr>
        <w:t>.</w:t>
      </w:r>
      <w:r w:rsidRPr="0004580B">
        <w:rPr>
          <w:b/>
        </w:rPr>
        <w:fldChar w:fldCharType="begin"/>
      </w:r>
      <w:r w:rsidRPr="00F32E15">
        <w:rPr>
          <w:b/>
          <w:lang w:val="en-GB"/>
        </w:rPr>
        <w:instrText xml:space="preserve"> SEQ Table \* ARABIC \s 1 </w:instrText>
      </w:r>
      <w:r w:rsidRPr="0004580B">
        <w:rPr>
          <w:b/>
        </w:rPr>
        <w:fldChar w:fldCharType="separate"/>
      </w:r>
      <w:r w:rsidRPr="00F32E15">
        <w:rPr>
          <w:b/>
          <w:lang w:val="en-GB"/>
        </w:rPr>
        <w:t>2</w:t>
      </w:r>
      <w:r w:rsidRPr="0004580B">
        <w:rPr>
          <w:b/>
        </w:rPr>
        <w:fldChar w:fldCharType="end"/>
      </w:r>
      <w:r w:rsidRPr="00F32E15">
        <w:rPr>
          <w:b/>
          <w:lang w:val="en-GB"/>
        </w:rPr>
        <w:t xml:space="preserve"> Evolution of participation rate in education and training – national average (2010-2016) compared to EU data</w:t>
      </w:r>
    </w:p>
    <w:tbl>
      <w:tblPr>
        <w:tblStyle w:val="ecTable"/>
        <w:tblW w:w="5066" w:type="pct"/>
        <w:tblLook w:val="0420" w:firstRow="1" w:lastRow="0" w:firstColumn="0" w:lastColumn="0" w:noHBand="0" w:noVBand="1"/>
      </w:tblPr>
      <w:tblGrid>
        <w:gridCol w:w="1439"/>
        <w:gridCol w:w="661"/>
        <w:gridCol w:w="662"/>
        <w:gridCol w:w="662"/>
        <w:gridCol w:w="694"/>
        <w:gridCol w:w="623"/>
        <w:gridCol w:w="623"/>
        <w:gridCol w:w="639"/>
        <w:gridCol w:w="623"/>
        <w:gridCol w:w="791"/>
        <w:gridCol w:w="866"/>
        <w:gridCol w:w="902"/>
      </w:tblGrid>
      <w:tr w:rsidR="0004580B" w:rsidRPr="004E3A2C" w14:paraId="67ACD9BC" w14:textId="77777777" w:rsidTr="00F32E15">
        <w:trPr>
          <w:cnfStyle w:val="100000000000" w:firstRow="1" w:lastRow="0" w:firstColumn="0" w:lastColumn="0" w:oddVBand="0" w:evenVBand="0" w:oddHBand="0" w:evenHBand="0" w:firstRowFirstColumn="0" w:firstRowLastColumn="0" w:lastRowFirstColumn="0" w:lastRowLastColumn="0"/>
          <w:trHeight w:val="310"/>
        </w:trPr>
        <w:tc>
          <w:tcPr>
            <w:tcW w:w="1439" w:type="dxa"/>
            <w:noWrap/>
            <w:hideMark/>
          </w:tcPr>
          <w:p w14:paraId="2E85A20B" w14:textId="77777777" w:rsidR="0004580B" w:rsidRPr="00F41B98" w:rsidRDefault="0004580B" w:rsidP="0004580B">
            <w:pPr>
              <w:pStyle w:val="Body"/>
              <w:rPr>
                <w:sz w:val="16"/>
              </w:rPr>
            </w:pPr>
            <w:r w:rsidRPr="00F41B98">
              <w:rPr>
                <w:sz w:val="16"/>
              </w:rPr>
              <w:t>Geographical area</w:t>
            </w:r>
          </w:p>
        </w:tc>
        <w:tc>
          <w:tcPr>
            <w:tcW w:w="5969" w:type="dxa"/>
            <w:gridSpan w:val="9"/>
            <w:hideMark/>
          </w:tcPr>
          <w:p w14:paraId="57A65317" w14:textId="77777777" w:rsidR="0004580B" w:rsidRPr="00F41B98" w:rsidRDefault="0004580B" w:rsidP="0004580B">
            <w:pPr>
              <w:pStyle w:val="Body"/>
              <w:rPr>
                <w:sz w:val="16"/>
              </w:rPr>
            </w:pPr>
            <w:r w:rsidRPr="00F41B98">
              <w:rPr>
                <w:sz w:val="16"/>
              </w:rPr>
              <w:t>Years</w:t>
            </w:r>
          </w:p>
        </w:tc>
        <w:tc>
          <w:tcPr>
            <w:tcW w:w="1706" w:type="dxa"/>
            <w:gridSpan w:val="2"/>
            <w:hideMark/>
          </w:tcPr>
          <w:p w14:paraId="22CE840E" w14:textId="77777777" w:rsidR="0004580B" w:rsidRPr="00F41B98" w:rsidRDefault="0004580B" w:rsidP="0004580B">
            <w:pPr>
              <w:pStyle w:val="Body"/>
              <w:rPr>
                <w:sz w:val="16"/>
              </w:rPr>
            </w:pPr>
            <w:r w:rsidRPr="00F41B98">
              <w:rPr>
                <w:sz w:val="16"/>
              </w:rPr>
              <w:t>Targets</w:t>
            </w:r>
          </w:p>
        </w:tc>
      </w:tr>
      <w:tr w:rsidR="00F32E15" w:rsidRPr="004E3A2C" w14:paraId="41E8E882" w14:textId="77777777" w:rsidTr="00F32E15">
        <w:trPr>
          <w:trHeight w:val="604"/>
        </w:trPr>
        <w:tc>
          <w:tcPr>
            <w:tcW w:w="1439" w:type="dxa"/>
            <w:noWrap/>
            <w:hideMark/>
          </w:tcPr>
          <w:p w14:paraId="6D29FA87" w14:textId="77777777" w:rsidR="0004580B" w:rsidRPr="00F41B98" w:rsidRDefault="0004580B" w:rsidP="0004580B">
            <w:pPr>
              <w:pStyle w:val="Body"/>
              <w:rPr>
                <w:sz w:val="16"/>
              </w:rPr>
            </w:pPr>
            <w:r w:rsidRPr="00F41B98">
              <w:rPr>
                <w:sz w:val="16"/>
              </w:rPr>
              <w:t> </w:t>
            </w:r>
          </w:p>
        </w:tc>
        <w:tc>
          <w:tcPr>
            <w:tcW w:w="661" w:type="dxa"/>
            <w:noWrap/>
            <w:hideMark/>
          </w:tcPr>
          <w:p w14:paraId="7E7D0932" w14:textId="77777777" w:rsidR="0004580B" w:rsidRPr="00F41B98" w:rsidRDefault="0004580B" w:rsidP="0004580B">
            <w:pPr>
              <w:pStyle w:val="Body"/>
              <w:rPr>
                <w:sz w:val="16"/>
              </w:rPr>
            </w:pPr>
            <w:r w:rsidRPr="00F41B98">
              <w:rPr>
                <w:sz w:val="16"/>
              </w:rPr>
              <w:t>2000</w:t>
            </w:r>
          </w:p>
        </w:tc>
        <w:tc>
          <w:tcPr>
            <w:tcW w:w="662" w:type="dxa"/>
            <w:noWrap/>
            <w:hideMark/>
          </w:tcPr>
          <w:p w14:paraId="1DD6C29F" w14:textId="77777777" w:rsidR="0004580B" w:rsidRPr="00F41B98" w:rsidRDefault="0004580B" w:rsidP="0004580B">
            <w:pPr>
              <w:pStyle w:val="Body"/>
              <w:rPr>
                <w:sz w:val="16"/>
              </w:rPr>
            </w:pPr>
            <w:r w:rsidRPr="00F41B98">
              <w:rPr>
                <w:sz w:val="16"/>
              </w:rPr>
              <w:t>2005</w:t>
            </w:r>
          </w:p>
        </w:tc>
        <w:tc>
          <w:tcPr>
            <w:tcW w:w="662" w:type="dxa"/>
            <w:hideMark/>
          </w:tcPr>
          <w:p w14:paraId="52F50030" w14:textId="77777777" w:rsidR="0004580B" w:rsidRPr="00F41B98" w:rsidRDefault="0004580B" w:rsidP="0004580B">
            <w:pPr>
              <w:pStyle w:val="Body"/>
              <w:rPr>
                <w:sz w:val="16"/>
              </w:rPr>
            </w:pPr>
            <w:r w:rsidRPr="00F41B98">
              <w:rPr>
                <w:sz w:val="16"/>
              </w:rPr>
              <w:t>2010</w:t>
            </w:r>
          </w:p>
        </w:tc>
        <w:tc>
          <w:tcPr>
            <w:tcW w:w="694" w:type="dxa"/>
            <w:hideMark/>
          </w:tcPr>
          <w:p w14:paraId="1C1514A5" w14:textId="77777777" w:rsidR="0004580B" w:rsidRPr="00F41B98" w:rsidRDefault="0004580B" w:rsidP="0004580B">
            <w:pPr>
              <w:pStyle w:val="Body"/>
              <w:rPr>
                <w:sz w:val="16"/>
              </w:rPr>
            </w:pPr>
            <w:r w:rsidRPr="00F41B98">
              <w:rPr>
                <w:sz w:val="16"/>
              </w:rPr>
              <w:t>2011</w:t>
            </w:r>
          </w:p>
        </w:tc>
        <w:tc>
          <w:tcPr>
            <w:tcW w:w="619" w:type="dxa"/>
            <w:hideMark/>
          </w:tcPr>
          <w:p w14:paraId="6FC5C44C" w14:textId="77777777" w:rsidR="0004580B" w:rsidRPr="00F41B98" w:rsidRDefault="0004580B" w:rsidP="0004580B">
            <w:pPr>
              <w:pStyle w:val="Body"/>
              <w:rPr>
                <w:sz w:val="16"/>
              </w:rPr>
            </w:pPr>
            <w:r w:rsidRPr="00F41B98">
              <w:rPr>
                <w:sz w:val="16"/>
              </w:rPr>
              <w:t>2012</w:t>
            </w:r>
          </w:p>
        </w:tc>
        <w:tc>
          <w:tcPr>
            <w:tcW w:w="619" w:type="dxa"/>
            <w:hideMark/>
          </w:tcPr>
          <w:p w14:paraId="110886F5" w14:textId="77777777" w:rsidR="0004580B" w:rsidRPr="00F41B98" w:rsidRDefault="0004580B" w:rsidP="0004580B">
            <w:pPr>
              <w:pStyle w:val="Body"/>
              <w:rPr>
                <w:sz w:val="16"/>
              </w:rPr>
            </w:pPr>
            <w:r w:rsidRPr="00F41B98">
              <w:rPr>
                <w:sz w:val="16"/>
              </w:rPr>
              <w:t>2013</w:t>
            </w:r>
          </w:p>
        </w:tc>
        <w:tc>
          <w:tcPr>
            <w:tcW w:w="639" w:type="dxa"/>
            <w:hideMark/>
          </w:tcPr>
          <w:p w14:paraId="0F2E157C" w14:textId="77777777" w:rsidR="0004580B" w:rsidRPr="00F41B98" w:rsidRDefault="0004580B" w:rsidP="0004580B">
            <w:pPr>
              <w:pStyle w:val="Body"/>
              <w:rPr>
                <w:sz w:val="16"/>
              </w:rPr>
            </w:pPr>
            <w:r w:rsidRPr="00F41B98">
              <w:rPr>
                <w:sz w:val="16"/>
              </w:rPr>
              <w:t>2014</w:t>
            </w:r>
          </w:p>
        </w:tc>
        <w:tc>
          <w:tcPr>
            <w:tcW w:w="619" w:type="dxa"/>
            <w:hideMark/>
          </w:tcPr>
          <w:p w14:paraId="75FAFD87" w14:textId="77777777" w:rsidR="0004580B" w:rsidRPr="00F41B98" w:rsidRDefault="0004580B" w:rsidP="0004580B">
            <w:pPr>
              <w:pStyle w:val="Body"/>
              <w:rPr>
                <w:sz w:val="16"/>
              </w:rPr>
            </w:pPr>
            <w:r w:rsidRPr="00F41B98">
              <w:rPr>
                <w:sz w:val="16"/>
              </w:rPr>
              <w:t>2015</w:t>
            </w:r>
          </w:p>
        </w:tc>
        <w:tc>
          <w:tcPr>
            <w:tcW w:w="791" w:type="dxa"/>
            <w:hideMark/>
          </w:tcPr>
          <w:p w14:paraId="38DD08D3" w14:textId="77777777" w:rsidR="0004580B" w:rsidRPr="00F41B98" w:rsidRDefault="0004580B" w:rsidP="0004580B">
            <w:pPr>
              <w:pStyle w:val="Body"/>
              <w:rPr>
                <w:sz w:val="16"/>
              </w:rPr>
            </w:pPr>
            <w:r w:rsidRPr="00F41B98">
              <w:rPr>
                <w:sz w:val="16"/>
              </w:rPr>
              <w:t>2016</w:t>
            </w:r>
          </w:p>
        </w:tc>
        <w:tc>
          <w:tcPr>
            <w:tcW w:w="803" w:type="dxa"/>
            <w:hideMark/>
          </w:tcPr>
          <w:p w14:paraId="12A845F8" w14:textId="77B8959C" w:rsidR="0004580B" w:rsidRPr="00F32E15" w:rsidRDefault="00F32E15" w:rsidP="0004580B">
            <w:pPr>
              <w:pStyle w:val="Body"/>
              <w:rPr>
                <w:sz w:val="16"/>
                <w:szCs w:val="16"/>
              </w:rPr>
            </w:pPr>
            <w:r w:rsidRPr="00F32E15">
              <w:rPr>
                <w:sz w:val="16"/>
                <w:szCs w:val="16"/>
              </w:rPr>
              <w:t xml:space="preserve">EU </w:t>
            </w:r>
            <w:r w:rsidR="0004580B" w:rsidRPr="00F32E15">
              <w:rPr>
                <w:sz w:val="16"/>
                <w:szCs w:val="16"/>
              </w:rPr>
              <w:t xml:space="preserve">2020 </w:t>
            </w:r>
          </w:p>
        </w:tc>
        <w:tc>
          <w:tcPr>
            <w:tcW w:w="902" w:type="dxa"/>
            <w:hideMark/>
          </w:tcPr>
          <w:p w14:paraId="5C91013A" w14:textId="2E7E85E9" w:rsidR="0004580B" w:rsidRPr="00F32E15" w:rsidRDefault="00F32E15" w:rsidP="0004580B">
            <w:pPr>
              <w:pStyle w:val="Body"/>
              <w:rPr>
                <w:sz w:val="16"/>
                <w:szCs w:val="16"/>
              </w:rPr>
            </w:pPr>
            <w:r w:rsidRPr="00F32E15">
              <w:rPr>
                <w:sz w:val="16"/>
                <w:szCs w:val="16"/>
              </w:rPr>
              <w:t xml:space="preserve">National </w:t>
            </w:r>
            <w:r w:rsidR="0004580B" w:rsidRPr="00F32E15">
              <w:rPr>
                <w:sz w:val="16"/>
                <w:szCs w:val="16"/>
              </w:rPr>
              <w:t xml:space="preserve">2020 </w:t>
            </w:r>
          </w:p>
        </w:tc>
      </w:tr>
      <w:tr w:rsidR="00F32E15" w:rsidRPr="004E3A2C" w14:paraId="3FAA9B44" w14:textId="77777777" w:rsidTr="00F32E15">
        <w:trPr>
          <w:trHeight w:val="310"/>
        </w:trPr>
        <w:tc>
          <w:tcPr>
            <w:tcW w:w="1439" w:type="dxa"/>
            <w:noWrap/>
            <w:hideMark/>
          </w:tcPr>
          <w:p w14:paraId="1F2CA649" w14:textId="77777777" w:rsidR="0004580B" w:rsidRPr="00F41B98" w:rsidRDefault="0004580B" w:rsidP="0004580B">
            <w:pPr>
              <w:pStyle w:val="Body"/>
              <w:rPr>
                <w:sz w:val="16"/>
              </w:rPr>
            </w:pPr>
            <w:r w:rsidRPr="00F41B98">
              <w:rPr>
                <w:sz w:val="16"/>
              </w:rPr>
              <w:t>EU-28 average</w:t>
            </w:r>
          </w:p>
        </w:tc>
        <w:tc>
          <w:tcPr>
            <w:tcW w:w="661" w:type="dxa"/>
            <w:noWrap/>
            <w:hideMark/>
          </w:tcPr>
          <w:p w14:paraId="0EF3F6F2" w14:textId="77777777" w:rsidR="0004580B" w:rsidRPr="00F41B98" w:rsidRDefault="0004580B" w:rsidP="0004580B">
            <w:pPr>
              <w:pStyle w:val="Body"/>
              <w:rPr>
                <w:sz w:val="16"/>
              </w:rPr>
            </w:pPr>
            <w:r w:rsidRPr="00F41B98">
              <w:rPr>
                <w:sz w:val="16"/>
              </w:rPr>
              <w:t>:</w:t>
            </w:r>
          </w:p>
        </w:tc>
        <w:tc>
          <w:tcPr>
            <w:tcW w:w="662" w:type="dxa"/>
            <w:noWrap/>
            <w:hideMark/>
          </w:tcPr>
          <w:p w14:paraId="40554CC6" w14:textId="77777777" w:rsidR="0004580B" w:rsidRPr="00F41B98" w:rsidRDefault="0004580B" w:rsidP="0004580B">
            <w:pPr>
              <w:pStyle w:val="Body"/>
              <w:rPr>
                <w:sz w:val="16"/>
              </w:rPr>
            </w:pPr>
            <w:r w:rsidRPr="00F41B98">
              <w:rPr>
                <w:sz w:val="16"/>
              </w:rPr>
              <w:t>9.6</w:t>
            </w:r>
          </w:p>
        </w:tc>
        <w:tc>
          <w:tcPr>
            <w:tcW w:w="662" w:type="dxa"/>
            <w:hideMark/>
          </w:tcPr>
          <w:p w14:paraId="236F1DE0" w14:textId="77777777" w:rsidR="0004580B" w:rsidRPr="00F41B98" w:rsidRDefault="0004580B" w:rsidP="0004580B">
            <w:pPr>
              <w:pStyle w:val="Body"/>
              <w:rPr>
                <w:sz w:val="16"/>
              </w:rPr>
            </w:pPr>
            <w:r w:rsidRPr="00F41B98">
              <w:rPr>
                <w:sz w:val="16"/>
              </w:rPr>
              <w:t>9.3</w:t>
            </w:r>
          </w:p>
        </w:tc>
        <w:tc>
          <w:tcPr>
            <w:tcW w:w="694" w:type="dxa"/>
            <w:hideMark/>
          </w:tcPr>
          <w:p w14:paraId="78D9DAF6" w14:textId="77777777" w:rsidR="0004580B" w:rsidRPr="00F41B98" w:rsidRDefault="0004580B" w:rsidP="0004580B">
            <w:pPr>
              <w:pStyle w:val="Body"/>
              <w:rPr>
                <w:sz w:val="16"/>
              </w:rPr>
            </w:pPr>
            <w:r w:rsidRPr="00F41B98">
              <w:rPr>
                <w:sz w:val="16"/>
              </w:rPr>
              <w:t>9.1</w:t>
            </w:r>
          </w:p>
        </w:tc>
        <w:tc>
          <w:tcPr>
            <w:tcW w:w="619" w:type="dxa"/>
            <w:hideMark/>
          </w:tcPr>
          <w:p w14:paraId="58B1FF3C" w14:textId="77777777" w:rsidR="0004580B" w:rsidRPr="00F41B98" w:rsidRDefault="0004580B" w:rsidP="0004580B">
            <w:pPr>
              <w:pStyle w:val="Body"/>
              <w:rPr>
                <w:sz w:val="16"/>
              </w:rPr>
            </w:pPr>
            <w:r w:rsidRPr="00F41B98">
              <w:rPr>
                <w:sz w:val="16"/>
              </w:rPr>
              <w:t>9.2</w:t>
            </w:r>
          </w:p>
        </w:tc>
        <w:tc>
          <w:tcPr>
            <w:tcW w:w="619" w:type="dxa"/>
            <w:hideMark/>
          </w:tcPr>
          <w:p w14:paraId="3F9981FB" w14:textId="77777777" w:rsidR="0004580B" w:rsidRPr="00F41B98" w:rsidRDefault="0004580B" w:rsidP="0004580B">
            <w:pPr>
              <w:pStyle w:val="Body"/>
              <w:rPr>
                <w:sz w:val="16"/>
              </w:rPr>
            </w:pPr>
            <w:r w:rsidRPr="00F41B98">
              <w:rPr>
                <w:sz w:val="16"/>
              </w:rPr>
              <w:t>10.7</w:t>
            </w:r>
          </w:p>
        </w:tc>
        <w:tc>
          <w:tcPr>
            <w:tcW w:w="639" w:type="dxa"/>
            <w:hideMark/>
          </w:tcPr>
          <w:p w14:paraId="7F1C4436" w14:textId="77777777" w:rsidR="0004580B" w:rsidRPr="00F41B98" w:rsidRDefault="0004580B" w:rsidP="0004580B">
            <w:pPr>
              <w:pStyle w:val="Body"/>
              <w:rPr>
                <w:sz w:val="16"/>
              </w:rPr>
            </w:pPr>
            <w:r w:rsidRPr="00F41B98">
              <w:rPr>
                <w:sz w:val="16"/>
              </w:rPr>
              <w:t>10.8</w:t>
            </w:r>
          </w:p>
        </w:tc>
        <w:tc>
          <w:tcPr>
            <w:tcW w:w="619" w:type="dxa"/>
            <w:hideMark/>
          </w:tcPr>
          <w:p w14:paraId="7A71B723" w14:textId="77777777" w:rsidR="0004580B" w:rsidRPr="00F41B98" w:rsidRDefault="0004580B" w:rsidP="0004580B">
            <w:pPr>
              <w:pStyle w:val="Body"/>
              <w:rPr>
                <w:sz w:val="16"/>
              </w:rPr>
            </w:pPr>
            <w:r w:rsidRPr="00F41B98">
              <w:rPr>
                <w:sz w:val="16"/>
              </w:rPr>
              <w:t>10.7</w:t>
            </w:r>
          </w:p>
        </w:tc>
        <w:tc>
          <w:tcPr>
            <w:tcW w:w="791" w:type="dxa"/>
            <w:hideMark/>
          </w:tcPr>
          <w:p w14:paraId="778BACBA" w14:textId="77777777" w:rsidR="0004580B" w:rsidRPr="00F41B98" w:rsidRDefault="0004580B" w:rsidP="0004580B">
            <w:pPr>
              <w:pStyle w:val="Body"/>
              <w:rPr>
                <w:sz w:val="16"/>
              </w:rPr>
            </w:pPr>
            <w:r w:rsidRPr="00F41B98">
              <w:rPr>
                <w:sz w:val="16"/>
              </w:rPr>
              <w:t>10.8</w:t>
            </w:r>
          </w:p>
        </w:tc>
        <w:tc>
          <w:tcPr>
            <w:tcW w:w="803" w:type="dxa"/>
            <w:hideMark/>
          </w:tcPr>
          <w:p w14:paraId="446E54E1" w14:textId="77777777" w:rsidR="0004580B" w:rsidRPr="00F41B98" w:rsidRDefault="0004580B" w:rsidP="0004580B">
            <w:pPr>
              <w:pStyle w:val="Body"/>
              <w:rPr>
                <w:sz w:val="16"/>
              </w:rPr>
            </w:pPr>
            <w:r w:rsidRPr="00F41B98">
              <w:rPr>
                <w:sz w:val="16"/>
              </w:rPr>
              <w:t> </w:t>
            </w:r>
          </w:p>
        </w:tc>
        <w:tc>
          <w:tcPr>
            <w:tcW w:w="902" w:type="dxa"/>
            <w:hideMark/>
          </w:tcPr>
          <w:p w14:paraId="57BB1893" w14:textId="77777777" w:rsidR="0004580B" w:rsidRPr="00F41B98" w:rsidRDefault="0004580B" w:rsidP="0004580B">
            <w:pPr>
              <w:pStyle w:val="Body"/>
              <w:rPr>
                <w:sz w:val="16"/>
              </w:rPr>
            </w:pPr>
            <w:r w:rsidRPr="00F41B98">
              <w:rPr>
                <w:sz w:val="16"/>
              </w:rPr>
              <w:t> </w:t>
            </w:r>
          </w:p>
        </w:tc>
      </w:tr>
      <w:tr w:rsidR="00F32E15" w:rsidRPr="004E3A2C" w14:paraId="11C9C6E6" w14:textId="77777777" w:rsidTr="00F32E15">
        <w:trPr>
          <w:trHeight w:val="744"/>
        </w:trPr>
        <w:tc>
          <w:tcPr>
            <w:tcW w:w="1439" w:type="dxa"/>
            <w:noWrap/>
          </w:tcPr>
          <w:p w14:paraId="0F134DB5" w14:textId="77777777" w:rsidR="0004580B" w:rsidRPr="00F41B98" w:rsidRDefault="0004580B" w:rsidP="0004580B">
            <w:pPr>
              <w:pStyle w:val="Body"/>
              <w:rPr>
                <w:sz w:val="16"/>
              </w:rPr>
            </w:pPr>
            <w:r w:rsidRPr="00F41B98">
              <w:rPr>
                <w:sz w:val="16"/>
              </w:rPr>
              <w:t>Portugal</w:t>
            </w:r>
          </w:p>
          <w:p w14:paraId="7298CF99" w14:textId="77777777" w:rsidR="0004580B" w:rsidRPr="00F41B98" w:rsidRDefault="0004580B" w:rsidP="0004580B">
            <w:pPr>
              <w:pStyle w:val="Body"/>
              <w:rPr>
                <w:sz w:val="16"/>
              </w:rPr>
            </w:pPr>
          </w:p>
        </w:tc>
        <w:tc>
          <w:tcPr>
            <w:tcW w:w="661" w:type="dxa"/>
            <w:noWrap/>
            <w:hideMark/>
          </w:tcPr>
          <w:p w14:paraId="6B611F49" w14:textId="77777777" w:rsidR="0004580B" w:rsidRPr="00F41B98" w:rsidRDefault="0004580B" w:rsidP="0004580B">
            <w:pPr>
              <w:pStyle w:val="Body"/>
              <w:rPr>
                <w:sz w:val="16"/>
              </w:rPr>
            </w:pPr>
            <w:r w:rsidRPr="00F41B98">
              <w:rPr>
                <w:sz w:val="16"/>
              </w:rPr>
              <w:t>3.4</w:t>
            </w:r>
          </w:p>
        </w:tc>
        <w:tc>
          <w:tcPr>
            <w:tcW w:w="662" w:type="dxa"/>
            <w:noWrap/>
            <w:hideMark/>
          </w:tcPr>
          <w:p w14:paraId="07FA135B" w14:textId="77777777" w:rsidR="0004580B" w:rsidRPr="00F41B98" w:rsidRDefault="0004580B" w:rsidP="0004580B">
            <w:pPr>
              <w:pStyle w:val="Body"/>
              <w:rPr>
                <w:sz w:val="16"/>
              </w:rPr>
            </w:pPr>
            <w:r w:rsidRPr="00F41B98">
              <w:rPr>
                <w:sz w:val="16"/>
              </w:rPr>
              <w:t>4.1</w:t>
            </w:r>
          </w:p>
        </w:tc>
        <w:tc>
          <w:tcPr>
            <w:tcW w:w="662" w:type="dxa"/>
            <w:noWrap/>
            <w:hideMark/>
          </w:tcPr>
          <w:p w14:paraId="1FC549D3" w14:textId="77777777" w:rsidR="0004580B" w:rsidRPr="00F41B98" w:rsidRDefault="0004580B" w:rsidP="0004580B">
            <w:pPr>
              <w:pStyle w:val="Body"/>
              <w:rPr>
                <w:sz w:val="16"/>
              </w:rPr>
            </w:pPr>
            <w:r w:rsidRPr="00F41B98">
              <w:rPr>
                <w:sz w:val="16"/>
              </w:rPr>
              <w:t>5.7</w:t>
            </w:r>
          </w:p>
        </w:tc>
        <w:tc>
          <w:tcPr>
            <w:tcW w:w="694" w:type="dxa"/>
            <w:noWrap/>
            <w:hideMark/>
          </w:tcPr>
          <w:p w14:paraId="6EADED3B" w14:textId="77777777" w:rsidR="0004580B" w:rsidRPr="00F41B98" w:rsidRDefault="0004580B" w:rsidP="0004580B">
            <w:pPr>
              <w:pStyle w:val="Body"/>
              <w:rPr>
                <w:sz w:val="16"/>
              </w:rPr>
            </w:pPr>
            <w:r w:rsidRPr="00F41B98">
              <w:rPr>
                <w:sz w:val="16"/>
              </w:rPr>
              <w:t>11.5</w:t>
            </w:r>
          </w:p>
        </w:tc>
        <w:tc>
          <w:tcPr>
            <w:tcW w:w="619" w:type="dxa"/>
            <w:noWrap/>
            <w:hideMark/>
          </w:tcPr>
          <w:p w14:paraId="2172D883" w14:textId="77777777" w:rsidR="0004580B" w:rsidRPr="00F41B98" w:rsidRDefault="0004580B" w:rsidP="0004580B">
            <w:pPr>
              <w:pStyle w:val="Body"/>
              <w:rPr>
                <w:sz w:val="16"/>
              </w:rPr>
            </w:pPr>
            <w:r w:rsidRPr="00F41B98">
              <w:rPr>
                <w:sz w:val="16"/>
              </w:rPr>
              <w:t>10.5</w:t>
            </w:r>
          </w:p>
        </w:tc>
        <w:tc>
          <w:tcPr>
            <w:tcW w:w="619" w:type="dxa"/>
            <w:noWrap/>
            <w:hideMark/>
          </w:tcPr>
          <w:p w14:paraId="4DE8D89B" w14:textId="77777777" w:rsidR="0004580B" w:rsidRPr="00F41B98" w:rsidRDefault="0004580B" w:rsidP="0004580B">
            <w:pPr>
              <w:pStyle w:val="Body"/>
              <w:rPr>
                <w:sz w:val="16"/>
              </w:rPr>
            </w:pPr>
            <w:r w:rsidRPr="00F41B98">
              <w:rPr>
                <w:sz w:val="16"/>
              </w:rPr>
              <w:t>9.7</w:t>
            </w:r>
          </w:p>
        </w:tc>
        <w:tc>
          <w:tcPr>
            <w:tcW w:w="639" w:type="dxa"/>
            <w:noWrap/>
            <w:hideMark/>
          </w:tcPr>
          <w:p w14:paraId="78CA82EE" w14:textId="77777777" w:rsidR="0004580B" w:rsidRPr="00F41B98" w:rsidRDefault="0004580B" w:rsidP="0004580B">
            <w:pPr>
              <w:pStyle w:val="Body"/>
              <w:rPr>
                <w:sz w:val="16"/>
              </w:rPr>
            </w:pPr>
            <w:r w:rsidRPr="00F41B98">
              <w:rPr>
                <w:sz w:val="16"/>
              </w:rPr>
              <w:t>9.6</w:t>
            </w:r>
          </w:p>
        </w:tc>
        <w:tc>
          <w:tcPr>
            <w:tcW w:w="619" w:type="dxa"/>
            <w:noWrap/>
            <w:hideMark/>
          </w:tcPr>
          <w:p w14:paraId="0C0DCF63" w14:textId="77777777" w:rsidR="0004580B" w:rsidRPr="00F41B98" w:rsidRDefault="0004580B" w:rsidP="0004580B">
            <w:pPr>
              <w:pStyle w:val="Body"/>
              <w:rPr>
                <w:sz w:val="16"/>
              </w:rPr>
            </w:pPr>
            <w:r w:rsidRPr="00F41B98">
              <w:rPr>
                <w:sz w:val="16"/>
              </w:rPr>
              <w:t>9.7</w:t>
            </w:r>
          </w:p>
        </w:tc>
        <w:tc>
          <w:tcPr>
            <w:tcW w:w="791" w:type="dxa"/>
            <w:noWrap/>
            <w:hideMark/>
          </w:tcPr>
          <w:p w14:paraId="08D9C43D" w14:textId="77777777" w:rsidR="0004580B" w:rsidRPr="00F41B98" w:rsidRDefault="0004580B" w:rsidP="0004580B">
            <w:pPr>
              <w:pStyle w:val="Body"/>
              <w:rPr>
                <w:sz w:val="16"/>
              </w:rPr>
            </w:pPr>
            <w:r w:rsidRPr="00F41B98">
              <w:rPr>
                <w:sz w:val="16"/>
              </w:rPr>
              <w:t>9.6</w:t>
            </w:r>
          </w:p>
        </w:tc>
        <w:tc>
          <w:tcPr>
            <w:tcW w:w="803" w:type="dxa"/>
            <w:hideMark/>
          </w:tcPr>
          <w:p w14:paraId="2549FF46" w14:textId="77777777" w:rsidR="0004580B" w:rsidRPr="00F32E15" w:rsidRDefault="0004580B" w:rsidP="0004580B">
            <w:pPr>
              <w:pStyle w:val="Body"/>
              <w:rPr>
                <w:sz w:val="16"/>
                <w:lang w:val="en-GB"/>
              </w:rPr>
            </w:pPr>
            <w:r w:rsidRPr="00F32E15">
              <w:rPr>
                <w:sz w:val="16"/>
                <w:lang w:val="en-GB"/>
              </w:rPr>
              <w:t>15% of adults in lifelong learning (LLL)</w:t>
            </w:r>
          </w:p>
        </w:tc>
        <w:tc>
          <w:tcPr>
            <w:tcW w:w="902" w:type="dxa"/>
            <w:noWrap/>
            <w:hideMark/>
          </w:tcPr>
          <w:p w14:paraId="22D2F33A" w14:textId="77777777" w:rsidR="0004580B" w:rsidRPr="00F41B98" w:rsidRDefault="0004580B" w:rsidP="0004580B">
            <w:pPr>
              <w:pStyle w:val="Body"/>
              <w:rPr>
                <w:sz w:val="16"/>
              </w:rPr>
            </w:pPr>
            <w:r w:rsidRPr="00F32E15">
              <w:rPr>
                <w:sz w:val="16"/>
                <w:lang w:val="en-GB"/>
              </w:rPr>
              <w:t> </w:t>
            </w:r>
            <w:r w:rsidRPr="00F41B98">
              <w:rPr>
                <w:sz w:val="16"/>
              </w:rPr>
              <w:t>15%</w:t>
            </w:r>
          </w:p>
        </w:tc>
      </w:tr>
    </w:tbl>
    <w:p w14:paraId="04E01C55" w14:textId="77777777" w:rsidR="0004580B" w:rsidRPr="00F32E15" w:rsidRDefault="0004580B" w:rsidP="00F41B98">
      <w:pPr>
        <w:pStyle w:val="Body"/>
        <w:spacing w:before="0" w:beforeAutospacing="0" w:after="0" w:afterAutospacing="0"/>
        <w:rPr>
          <w:i/>
          <w:lang w:val="en-GB"/>
        </w:rPr>
      </w:pPr>
      <w:r w:rsidRPr="00F32E15">
        <w:rPr>
          <w:i/>
          <w:u w:val="single"/>
          <w:lang w:val="en-GB"/>
        </w:rPr>
        <w:t>Source:</w:t>
      </w:r>
      <w:r w:rsidRPr="00F32E15">
        <w:rPr>
          <w:i/>
          <w:lang w:val="en-GB"/>
        </w:rPr>
        <w:t xml:space="preserve"> Participation rate in education and training by sex and age (%), Eurostat code trng_lfse_01, last updated 25 April 2017. </w:t>
      </w:r>
    </w:p>
    <w:p w14:paraId="1976F92E" w14:textId="1F3E110B" w:rsidR="00D63E0D" w:rsidRPr="00F32E15" w:rsidRDefault="0004580B" w:rsidP="00F41B98">
      <w:pPr>
        <w:pStyle w:val="Body"/>
        <w:spacing w:before="0" w:beforeAutospacing="0" w:after="0" w:afterAutospacing="0"/>
        <w:rPr>
          <w:i/>
          <w:lang w:val="en-GB"/>
        </w:rPr>
      </w:pPr>
      <w:r w:rsidRPr="00F32E15">
        <w:rPr>
          <w:i/>
          <w:u w:val="single"/>
          <w:lang w:val="en-GB"/>
        </w:rPr>
        <w:t>Explanatory note:</w:t>
      </w:r>
      <w:r w:rsidRPr="00F32E15">
        <w:rPr>
          <w:i/>
          <w:lang w:val="en-GB"/>
        </w:rPr>
        <w:t xml:space="preserve"> This table compares the participation rate in lifelong learning of adults aged 25-64 to EU data over the period 2000-2016. </w:t>
      </w:r>
      <w:bookmarkStart w:id="9" w:name="_Toc494321815"/>
      <w:bookmarkEnd w:id="1"/>
      <w:bookmarkEnd w:id="2"/>
      <w:r w:rsidR="00D63E0D" w:rsidRPr="00F32E15">
        <w:rPr>
          <w:i/>
          <w:lang w:val="en-GB"/>
        </w:rPr>
        <w:t>Bibliography</w:t>
      </w:r>
      <w:bookmarkEnd w:id="9"/>
    </w:p>
    <w:p w14:paraId="31384AFF" w14:textId="48902336" w:rsidR="0004580B" w:rsidRPr="00F32E15" w:rsidRDefault="0004580B" w:rsidP="0004580B">
      <w:pPr>
        <w:pStyle w:val="Body"/>
        <w:rPr>
          <w:i/>
          <w:lang w:val="en-GB"/>
        </w:rPr>
      </w:pPr>
      <w:r w:rsidRPr="00F32E15">
        <w:rPr>
          <w:i/>
          <w:lang w:val="en-GB"/>
        </w:rPr>
        <w:t>-Comparison to EU data</w:t>
      </w:r>
    </w:p>
    <w:p w14:paraId="57A1F3D3" w14:textId="77777777" w:rsidR="0004580B" w:rsidRPr="00F32E15" w:rsidRDefault="0004580B" w:rsidP="0004580B">
      <w:pPr>
        <w:pStyle w:val="Body"/>
        <w:rPr>
          <w:lang w:val="en-GB"/>
        </w:rPr>
      </w:pPr>
      <w:r w:rsidRPr="00F32E15">
        <w:rPr>
          <w:lang w:val="en-GB"/>
        </w:rPr>
        <w:t>In 2016, the Portuguese participation rate in education and training (9.6%) was still further away from the EU2020 target (15%) and EU-28 average (10.8%).</w:t>
      </w:r>
    </w:p>
    <w:p w14:paraId="7B13C1A9" w14:textId="2C2E43DB" w:rsidR="0004580B" w:rsidRPr="00F32E15" w:rsidRDefault="0004580B" w:rsidP="0004580B">
      <w:pPr>
        <w:pStyle w:val="Body"/>
        <w:rPr>
          <w:i/>
          <w:lang w:val="en-GB"/>
        </w:rPr>
      </w:pPr>
      <w:r w:rsidRPr="00F32E15">
        <w:rPr>
          <w:i/>
          <w:lang w:val="en-GB"/>
        </w:rPr>
        <w:t>-Evolution over time</w:t>
      </w:r>
    </w:p>
    <w:p w14:paraId="3FF972B2" w14:textId="77777777" w:rsidR="0004580B" w:rsidRPr="00F32E15" w:rsidRDefault="0004580B" w:rsidP="0004580B">
      <w:pPr>
        <w:pStyle w:val="Body"/>
        <w:rPr>
          <w:lang w:val="en-GB"/>
        </w:rPr>
      </w:pPr>
      <w:r w:rsidRPr="00F32E15">
        <w:rPr>
          <w:lang w:val="en-GB"/>
        </w:rPr>
        <w:t>Participation rates have increased from 2000 (3.4%) to 2012 (10.5%) due to the development of the adult education policy (Programa Saber +</w:t>
      </w:r>
      <w:r w:rsidRPr="00855838">
        <w:rPr>
          <w:rStyle w:val="FootnoteReference"/>
        </w:rPr>
        <w:footnoteReference w:id="10"/>
      </w:r>
      <w:r w:rsidRPr="00F32E15">
        <w:rPr>
          <w:lang w:val="en-GB"/>
        </w:rPr>
        <w:t xml:space="preserve"> – 1999/2002 and especially Iniciativa Novas Oportunidades</w:t>
      </w:r>
      <w:r w:rsidRPr="00855838">
        <w:rPr>
          <w:rStyle w:val="FootnoteReference"/>
        </w:rPr>
        <w:footnoteReference w:id="11"/>
      </w:r>
      <w:r w:rsidRPr="00F32E15">
        <w:rPr>
          <w:lang w:val="en-GB"/>
        </w:rPr>
        <w:t xml:space="preserve"> – 2005-2011). However this rates have suffered a decrease in 2013 and 2014 (9.7% and 9.6%) maintained in 2015 (9.7%) and 2016 (9.6%) due to the suspension of the adult education policy in 2011, and to the end of the national strategic reference framework supported by European Union funding programmes (2007-2013). These programmes allocated funding to adult education provision and vocational education and training. It was also due to structural adjustment policies that involved severe cuts in State expenditure, reducing the scope, resources, capacity and beneficiaries of education public policies. The conditions in which Portugal had to provide education services and the capacity to meet the needs of adult learners became more challenging</w:t>
      </w:r>
      <w:r w:rsidRPr="00855838">
        <w:rPr>
          <w:rStyle w:val="FootnoteReference"/>
        </w:rPr>
        <w:footnoteReference w:id="12"/>
      </w:r>
      <w:r w:rsidRPr="00F32E15">
        <w:rPr>
          <w:lang w:val="en-GB"/>
        </w:rPr>
        <w:t>. From 2013 up until today only few forms of provision were kept in development such as modular training</w:t>
      </w:r>
      <w:r w:rsidRPr="00855838">
        <w:rPr>
          <w:rStyle w:val="FootnoteReference"/>
        </w:rPr>
        <w:footnoteReference w:id="13"/>
      </w:r>
      <w:r w:rsidRPr="00F32E15">
        <w:rPr>
          <w:lang w:val="en-GB"/>
        </w:rPr>
        <w:t xml:space="preserve"> and adult education and training courses</w:t>
      </w:r>
      <w:r w:rsidRPr="00855838">
        <w:rPr>
          <w:rStyle w:val="FootnoteReference"/>
        </w:rPr>
        <w:footnoteReference w:id="14"/>
      </w:r>
      <w:r w:rsidRPr="00F32E15">
        <w:rPr>
          <w:lang w:val="en-GB"/>
        </w:rPr>
        <w:t>. Apart from these, recognition of prior learning</w:t>
      </w:r>
      <w:r w:rsidRPr="00855838">
        <w:rPr>
          <w:rStyle w:val="FootnoteReference"/>
        </w:rPr>
        <w:footnoteReference w:id="15"/>
      </w:r>
      <w:r w:rsidRPr="00F32E15">
        <w:rPr>
          <w:lang w:val="en-GB"/>
        </w:rPr>
        <w:t xml:space="preserve"> enrolments’ have to be stressed although </w:t>
      </w:r>
      <w:r w:rsidRPr="00F32E15">
        <w:rPr>
          <w:lang w:val="en-GB"/>
        </w:rPr>
        <w:lastRenderedPageBreak/>
        <w:t>the number of learners certified by this means has not been relevant in recent years</w:t>
      </w:r>
      <w:r w:rsidRPr="00855838">
        <w:rPr>
          <w:rStyle w:val="FootnoteReference"/>
        </w:rPr>
        <w:footnoteReference w:id="16"/>
      </w:r>
      <w:r w:rsidRPr="00F32E15">
        <w:rPr>
          <w:lang w:val="en-GB"/>
        </w:rPr>
        <w:t>. Recent changes in adult education and training policy from August 2016</w:t>
      </w:r>
      <w:r w:rsidRPr="00855838">
        <w:rPr>
          <w:rStyle w:val="FootnoteReference"/>
        </w:rPr>
        <w:footnoteReference w:id="17"/>
      </w:r>
      <w:r w:rsidRPr="00F32E15">
        <w:rPr>
          <w:lang w:val="en-GB"/>
        </w:rPr>
        <w:t xml:space="preserve"> might have an impact in participation rate in the next years.</w:t>
      </w:r>
    </w:p>
    <w:p w14:paraId="2B209B27" w14:textId="1933A5DE" w:rsidR="0004580B" w:rsidRPr="00F32E15" w:rsidRDefault="0004580B" w:rsidP="0004580B">
      <w:pPr>
        <w:pStyle w:val="Body"/>
        <w:rPr>
          <w:lang w:val="en-GB"/>
        </w:rPr>
      </w:pPr>
      <w:r w:rsidRPr="00F32E15">
        <w:rPr>
          <w:lang w:val="en-GB"/>
        </w:rPr>
        <w:t>It has to be noted that rates of non-participants in lifelong learning and adult education activities are high in Portugal</w:t>
      </w:r>
      <w:r w:rsidRPr="00855838">
        <w:rPr>
          <w:rStyle w:val="FootnoteReference"/>
        </w:rPr>
        <w:footnoteReference w:id="18"/>
      </w:r>
      <w:r w:rsidRPr="00F32E15">
        <w:rPr>
          <w:lang w:val="en-GB"/>
        </w:rPr>
        <w:t xml:space="preserve"> and present a very expressive cross-generational gap. In 2011, 40.1% of non-participants were 55 to 64 years old, 26.2% were 45-54, 18.4% were 35-44, </w:t>
      </w:r>
      <w:proofErr w:type="gramStart"/>
      <w:r w:rsidRPr="00F32E15">
        <w:rPr>
          <w:lang w:val="en-GB"/>
        </w:rPr>
        <w:t>13.1</w:t>
      </w:r>
      <w:proofErr w:type="gramEnd"/>
      <w:r w:rsidRPr="00F32E15">
        <w:rPr>
          <w:lang w:val="en-GB"/>
        </w:rPr>
        <w:t>% were 25-34.</w:t>
      </w:r>
    </w:p>
    <w:p w14:paraId="32963116" w14:textId="77777777" w:rsidR="0004580B" w:rsidRPr="003A2D8A" w:rsidRDefault="0004580B" w:rsidP="00F41B98">
      <w:pPr>
        <w:pStyle w:val="Heading2"/>
      </w:pPr>
      <w:bookmarkStart w:id="10" w:name="_Toc484689403"/>
      <w:r w:rsidRPr="003A2D8A">
        <w:t>Trends for low qualified adults</w:t>
      </w:r>
      <w:bookmarkEnd w:id="10"/>
      <w:r w:rsidRPr="003A2D8A">
        <w:t xml:space="preserve">  </w:t>
      </w:r>
    </w:p>
    <w:p w14:paraId="46E5E68B" w14:textId="77777777" w:rsidR="0004580B" w:rsidRPr="003A2D8A" w:rsidRDefault="0004580B" w:rsidP="00F41B98">
      <w:pPr>
        <w:pStyle w:val="Heading3"/>
      </w:pPr>
      <w:bookmarkStart w:id="11" w:name="_Toc484689404"/>
      <w:r w:rsidRPr="003A2D8A">
        <w:t>Share of low qualified adults</w:t>
      </w:r>
      <w:bookmarkEnd w:id="11"/>
      <w:r w:rsidRPr="003A2D8A">
        <w:t xml:space="preserve"> </w:t>
      </w:r>
    </w:p>
    <w:p w14:paraId="7CCA3C42" w14:textId="77777777" w:rsidR="0004580B" w:rsidRPr="00F32E15" w:rsidRDefault="0004580B" w:rsidP="00F41B98">
      <w:pPr>
        <w:pStyle w:val="BodyText"/>
        <w:spacing w:after="0"/>
        <w:rPr>
          <w:b/>
          <w:lang w:val="en-GB"/>
        </w:rPr>
      </w:pPr>
      <w:r w:rsidRPr="00F32E15">
        <w:rPr>
          <w:b/>
          <w:lang w:val="en-GB"/>
        </w:rPr>
        <w:t>Table 1.</w:t>
      </w:r>
      <w:r w:rsidRPr="004354BE">
        <w:rPr>
          <w:b/>
        </w:rPr>
        <w:fldChar w:fldCharType="begin"/>
      </w:r>
      <w:r w:rsidRPr="00F32E15">
        <w:rPr>
          <w:b/>
          <w:lang w:val="en-GB"/>
        </w:rPr>
        <w:instrText xml:space="preserve"> SEQ Table \* ARABIC \s 1 </w:instrText>
      </w:r>
      <w:r w:rsidRPr="004354BE">
        <w:rPr>
          <w:b/>
        </w:rPr>
        <w:fldChar w:fldCharType="separate"/>
      </w:r>
      <w:r w:rsidRPr="00F32E15">
        <w:rPr>
          <w:b/>
          <w:lang w:val="en-GB"/>
        </w:rPr>
        <w:t>3</w:t>
      </w:r>
      <w:r w:rsidRPr="004354BE">
        <w:rPr>
          <w:b/>
        </w:rPr>
        <w:fldChar w:fldCharType="end"/>
      </w:r>
      <w:r w:rsidRPr="00F32E15">
        <w:rPr>
          <w:b/>
          <w:lang w:val="en-GB"/>
        </w:rPr>
        <w:t xml:space="preserve">: Share of low-qualified adults (ISCED 0-2) – national data (2010-2016) compared to EU-28 average 2016 </w:t>
      </w:r>
    </w:p>
    <w:tbl>
      <w:tblPr>
        <w:tblStyle w:val="ecTable"/>
        <w:tblW w:w="5000" w:type="pct"/>
        <w:tblLook w:val="0420" w:firstRow="1" w:lastRow="0" w:firstColumn="0" w:lastColumn="0" w:noHBand="0" w:noVBand="1"/>
      </w:tblPr>
      <w:tblGrid>
        <w:gridCol w:w="1917"/>
        <w:gridCol w:w="772"/>
        <w:gridCol w:w="772"/>
        <w:gridCol w:w="772"/>
        <w:gridCol w:w="771"/>
        <w:gridCol w:w="771"/>
        <w:gridCol w:w="771"/>
        <w:gridCol w:w="771"/>
        <w:gridCol w:w="771"/>
        <w:gridCol w:w="908"/>
      </w:tblGrid>
      <w:tr w:rsidR="0004580B" w:rsidRPr="003A2D8A" w14:paraId="04DC2907" w14:textId="77777777" w:rsidTr="004354BE">
        <w:trPr>
          <w:cnfStyle w:val="100000000000" w:firstRow="1" w:lastRow="0" w:firstColumn="0" w:lastColumn="0" w:oddVBand="0" w:evenVBand="0" w:oddHBand="0" w:evenHBand="0" w:firstRowFirstColumn="0" w:firstRowLastColumn="0" w:lastRowFirstColumn="0" w:lastRowLastColumn="0"/>
          <w:trHeight w:val="315"/>
        </w:trPr>
        <w:tc>
          <w:tcPr>
            <w:tcW w:w="1801" w:type="dxa"/>
            <w:noWrap/>
            <w:hideMark/>
          </w:tcPr>
          <w:p w14:paraId="7576A10A" w14:textId="77777777" w:rsidR="0004580B" w:rsidRPr="003A2D8A" w:rsidRDefault="0004580B" w:rsidP="004354BE">
            <w:pPr>
              <w:pStyle w:val="Body"/>
            </w:pPr>
            <w:r w:rsidRPr="003A2D8A">
              <w:t>Geographical area</w:t>
            </w:r>
          </w:p>
        </w:tc>
        <w:tc>
          <w:tcPr>
            <w:tcW w:w="6163" w:type="dxa"/>
            <w:gridSpan w:val="9"/>
            <w:hideMark/>
          </w:tcPr>
          <w:p w14:paraId="630D0094" w14:textId="77777777" w:rsidR="0004580B" w:rsidRPr="003A2D8A" w:rsidRDefault="0004580B" w:rsidP="004354BE">
            <w:pPr>
              <w:pStyle w:val="Body"/>
            </w:pPr>
            <w:r w:rsidRPr="003A2D8A">
              <w:t>Years</w:t>
            </w:r>
          </w:p>
        </w:tc>
      </w:tr>
      <w:tr w:rsidR="0004580B" w:rsidRPr="003A2D8A" w14:paraId="1D27E942" w14:textId="77777777" w:rsidTr="004354BE">
        <w:trPr>
          <w:trHeight w:val="315"/>
        </w:trPr>
        <w:tc>
          <w:tcPr>
            <w:tcW w:w="1801" w:type="dxa"/>
            <w:noWrap/>
            <w:hideMark/>
          </w:tcPr>
          <w:p w14:paraId="0D1E9D4E" w14:textId="77777777" w:rsidR="0004580B" w:rsidRPr="003A2D8A" w:rsidRDefault="0004580B" w:rsidP="004354BE">
            <w:pPr>
              <w:pStyle w:val="Body"/>
            </w:pPr>
            <w:r w:rsidRPr="003A2D8A">
              <w:t> </w:t>
            </w:r>
          </w:p>
        </w:tc>
        <w:tc>
          <w:tcPr>
            <w:tcW w:w="661" w:type="dxa"/>
            <w:noWrap/>
            <w:hideMark/>
          </w:tcPr>
          <w:p w14:paraId="6A856FCE" w14:textId="77777777" w:rsidR="0004580B" w:rsidRPr="003A2D8A" w:rsidRDefault="0004580B" w:rsidP="004354BE">
            <w:pPr>
              <w:pStyle w:val="Body"/>
            </w:pPr>
            <w:r w:rsidRPr="003A2D8A">
              <w:t>2000</w:t>
            </w:r>
          </w:p>
        </w:tc>
        <w:tc>
          <w:tcPr>
            <w:tcW w:w="661" w:type="dxa"/>
            <w:noWrap/>
            <w:hideMark/>
          </w:tcPr>
          <w:p w14:paraId="1C1F3410" w14:textId="77777777" w:rsidR="0004580B" w:rsidRPr="003A2D8A" w:rsidRDefault="0004580B" w:rsidP="004354BE">
            <w:pPr>
              <w:pStyle w:val="Body"/>
            </w:pPr>
            <w:r w:rsidRPr="003A2D8A">
              <w:t>2005</w:t>
            </w:r>
          </w:p>
        </w:tc>
        <w:tc>
          <w:tcPr>
            <w:tcW w:w="661" w:type="dxa"/>
            <w:hideMark/>
          </w:tcPr>
          <w:p w14:paraId="741D17CF" w14:textId="77777777" w:rsidR="0004580B" w:rsidRPr="003A2D8A" w:rsidRDefault="0004580B" w:rsidP="004354BE">
            <w:pPr>
              <w:pStyle w:val="Body"/>
            </w:pPr>
            <w:r w:rsidRPr="003A2D8A">
              <w:t>2010</w:t>
            </w:r>
          </w:p>
        </w:tc>
        <w:tc>
          <w:tcPr>
            <w:tcW w:w="661" w:type="dxa"/>
            <w:hideMark/>
          </w:tcPr>
          <w:p w14:paraId="1B2763C7" w14:textId="77777777" w:rsidR="0004580B" w:rsidRPr="003A2D8A" w:rsidRDefault="0004580B" w:rsidP="004354BE">
            <w:pPr>
              <w:pStyle w:val="Body"/>
            </w:pPr>
            <w:r w:rsidRPr="003A2D8A">
              <w:t>2011</w:t>
            </w:r>
          </w:p>
        </w:tc>
        <w:tc>
          <w:tcPr>
            <w:tcW w:w="661" w:type="dxa"/>
            <w:hideMark/>
          </w:tcPr>
          <w:p w14:paraId="512B7B45" w14:textId="77777777" w:rsidR="0004580B" w:rsidRPr="003A2D8A" w:rsidRDefault="0004580B" w:rsidP="004354BE">
            <w:pPr>
              <w:pStyle w:val="Body"/>
            </w:pPr>
            <w:r w:rsidRPr="003A2D8A">
              <w:t>2012</w:t>
            </w:r>
          </w:p>
        </w:tc>
        <w:tc>
          <w:tcPr>
            <w:tcW w:w="661" w:type="dxa"/>
            <w:hideMark/>
          </w:tcPr>
          <w:p w14:paraId="0C24E5D4" w14:textId="77777777" w:rsidR="0004580B" w:rsidRPr="003A2D8A" w:rsidRDefault="0004580B" w:rsidP="004354BE">
            <w:pPr>
              <w:pStyle w:val="Body"/>
            </w:pPr>
            <w:r w:rsidRPr="003A2D8A">
              <w:t>2013</w:t>
            </w:r>
          </w:p>
        </w:tc>
        <w:tc>
          <w:tcPr>
            <w:tcW w:w="683" w:type="dxa"/>
            <w:hideMark/>
          </w:tcPr>
          <w:p w14:paraId="7E91AEBC" w14:textId="77777777" w:rsidR="0004580B" w:rsidRPr="003A2D8A" w:rsidRDefault="0004580B" w:rsidP="004354BE">
            <w:pPr>
              <w:pStyle w:val="Body"/>
            </w:pPr>
            <w:r w:rsidRPr="003A2D8A">
              <w:t>2014</w:t>
            </w:r>
          </w:p>
        </w:tc>
        <w:tc>
          <w:tcPr>
            <w:tcW w:w="661" w:type="dxa"/>
            <w:hideMark/>
          </w:tcPr>
          <w:p w14:paraId="35E94F65" w14:textId="77777777" w:rsidR="0004580B" w:rsidRPr="003A2D8A" w:rsidRDefault="0004580B" w:rsidP="004354BE">
            <w:pPr>
              <w:pStyle w:val="Body"/>
            </w:pPr>
            <w:r w:rsidRPr="003A2D8A">
              <w:t>2015</w:t>
            </w:r>
          </w:p>
        </w:tc>
        <w:tc>
          <w:tcPr>
            <w:tcW w:w="853" w:type="dxa"/>
            <w:hideMark/>
          </w:tcPr>
          <w:p w14:paraId="52979B26" w14:textId="77777777" w:rsidR="0004580B" w:rsidRPr="003A2D8A" w:rsidRDefault="0004580B" w:rsidP="004354BE">
            <w:pPr>
              <w:pStyle w:val="Body"/>
            </w:pPr>
            <w:r w:rsidRPr="003A2D8A">
              <w:t>2016</w:t>
            </w:r>
          </w:p>
        </w:tc>
      </w:tr>
      <w:tr w:rsidR="0004580B" w:rsidRPr="003A2D8A" w14:paraId="7EE00AAA" w14:textId="77777777" w:rsidTr="004354BE">
        <w:trPr>
          <w:trHeight w:val="315"/>
        </w:trPr>
        <w:tc>
          <w:tcPr>
            <w:tcW w:w="1801" w:type="dxa"/>
            <w:noWrap/>
            <w:hideMark/>
          </w:tcPr>
          <w:p w14:paraId="1F2C4466" w14:textId="77777777" w:rsidR="0004580B" w:rsidRPr="003A2D8A" w:rsidRDefault="0004580B" w:rsidP="004354BE">
            <w:pPr>
              <w:pStyle w:val="Body"/>
            </w:pPr>
            <w:r w:rsidRPr="003A2D8A">
              <w:t>EU-28 average</w:t>
            </w:r>
          </w:p>
        </w:tc>
        <w:tc>
          <w:tcPr>
            <w:tcW w:w="661" w:type="dxa"/>
            <w:noWrap/>
            <w:hideMark/>
          </w:tcPr>
          <w:p w14:paraId="0048B21C" w14:textId="77777777" w:rsidR="0004580B" w:rsidRPr="003A2D8A" w:rsidRDefault="0004580B" w:rsidP="004354BE">
            <w:pPr>
              <w:pStyle w:val="Body"/>
            </w:pPr>
            <w:r w:rsidRPr="003A2D8A">
              <w:t>:</w:t>
            </w:r>
          </w:p>
        </w:tc>
        <w:tc>
          <w:tcPr>
            <w:tcW w:w="661" w:type="dxa"/>
            <w:noWrap/>
            <w:hideMark/>
          </w:tcPr>
          <w:p w14:paraId="7FE5805C" w14:textId="77777777" w:rsidR="0004580B" w:rsidRPr="003A2D8A" w:rsidRDefault="0004580B" w:rsidP="004354BE">
            <w:pPr>
              <w:pStyle w:val="Body"/>
            </w:pPr>
            <w:r w:rsidRPr="003A2D8A">
              <w:t>30.6</w:t>
            </w:r>
          </w:p>
        </w:tc>
        <w:tc>
          <w:tcPr>
            <w:tcW w:w="661" w:type="dxa"/>
            <w:hideMark/>
          </w:tcPr>
          <w:p w14:paraId="227A3F5D" w14:textId="77777777" w:rsidR="0004580B" w:rsidRPr="003A2D8A" w:rsidRDefault="0004580B" w:rsidP="004354BE">
            <w:pPr>
              <w:pStyle w:val="Body"/>
            </w:pPr>
            <w:r w:rsidRPr="003A2D8A">
              <w:t>27.3</w:t>
            </w:r>
          </w:p>
        </w:tc>
        <w:tc>
          <w:tcPr>
            <w:tcW w:w="661" w:type="dxa"/>
            <w:hideMark/>
          </w:tcPr>
          <w:p w14:paraId="46DD90E7" w14:textId="77777777" w:rsidR="0004580B" w:rsidRPr="003A2D8A" w:rsidRDefault="0004580B" w:rsidP="004354BE">
            <w:pPr>
              <w:pStyle w:val="Body"/>
            </w:pPr>
            <w:r w:rsidRPr="003A2D8A">
              <w:t>26.6</w:t>
            </w:r>
          </w:p>
        </w:tc>
        <w:tc>
          <w:tcPr>
            <w:tcW w:w="661" w:type="dxa"/>
            <w:hideMark/>
          </w:tcPr>
          <w:p w14:paraId="3D0CB7A6" w14:textId="77777777" w:rsidR="0004580B" w:rsidRPr="003A2D8A" w:rsidRDefault="0004580B" w:rsidP="004354BE">
            <w:pPr>
              <w:pStyle w:val="Body"/>
            </w:pPr>
            <w:r w:rsidRPr="003A2D8A">
              <w:t>25.8</w:t>
            </w:r>
          </w:p>
        </w:tc>
        <w:tc>
          <w:tcPr>
            <w:tcW w:w="661" w:type="dxa"/>
            <w:hideMark/>
          </w:tcPr>
          <w:p w14:paraId="2BEE2AF4" w14:textId="77777777" w:rsidR="0004580B" w:rsidRPr="003A2D8A" w:rsidRDefault="0004580B" w:rsidP="004354BE">
            <w:pPr>
              <w:pStyle w:val="Body"/>
            </w:pPr>
            <w:r w:rsidRPr="003A2D8A">
              <w:t>24.8</w:t>
            </w:r>
          </w:p>
        </w:tc>
        <w:tc>
          <w:tcPr>
            <w:tcW w:w="683" w:type="dxa"/>
            <w:hideMark/>
          </w:tcPr>
          <w:p w14:paraId="6AF2AFB3" w14:textId="77777777" w:rsidR="0004580B" w:rsidRPr="003A2D8A" w:rsidRDefault="0004580B" w:rsidP="004354BE">
            <w:pPr>
              <w:pStyle w:val="Body"/>
            </w:pPr>
            <w:r w:rsidRPr="003A2D8A">
              <w:t>24.1</w:t>
            </w:r>
          </w:p>
        </w:tc>
        <w:tc>
          <w:tcPr>
            <w:tcW w:w="661" w:type="dxa"/>
            <w:hideMark/>
          </w:tcPr>
          <w:p w14:paraId="7B4B56CB" w14:textId="77777777" w:rsidR="0004580B" w:rsidRPr="003A2D8A" w:rsidRDefault="0004580B" w:rsidP="004354BE">
            <w:pPr>
              <w:pStyle w:val="Body"/>
            </w:pPr>
            <w:r w:rsidRPr="003A2D8A">
              <w:t>23.5</w:t>
            </w:r>
          </w:p>
        </w:tc>
        <w:tc>
          <w:tcPr>
            <w:tcW w:w="853" w:type="dxa"/>
            <w:hideMark/>
          </w:tcPr>
          <w:p w14:paraId="144D91D3" w14:textId="77777777" w:rsidR="0004580B" w:rsidRPr="003A2D8A" w:rsidRDefault="0004580B" w:rsidP="004354BE">
            <w:pPr>
              <w:pStyle w:val="Body"/>
            </w:pPr>
            <w:r w:rsidRPr="003A2D8A">
              <w:t>23</w:t>
            </w:r>
          </w:p>
        </w:tc>
      </w:tr>
      <w:tr w:rsidR="0004580B" w:rsidRPr="003A2D8A" w14:paraId="79BCB6FA" w14:textId="77777777" w:rsidTr="004354BE">
        <w:trPr>
          <w:trHeight w:val="300"/>
        </w:trPr>
        <w:tc>
          <w:tcPr>
            <w:tcW w:w="1801" w:type="dxa"/>
            <w:noWrap/>
            <w:hideMark/>
          </w:tcPr>
          <w:p w14:paraId="740612BE" w14:textId="77777777" w:rsidR="0004580B" w:rsidRPr="003A2D8A" w:rsidRDefault="0004580B" w:rsidP="004354BE">
            <w:pPr>
              <w:pStyle w:val="Body"/>
            </w:pPr>
            <w:r w:rsidRPr="003A2D8A">
              <w:t>Portugal</w:t>
            </w:r>
          </w:p>
        </w:tc>
        <w:tc>
          <w:tcPr>
            <w:tcW w:w="661" w:type="dxa"/>
            <w:noWrap/>
            <w:hideMark/>
          </w:tcPr>
          <w:p w14:paraId="2809EDF3" w14:textId="77777777" w:rsidR="0004580B" w:rsidRPr="003A2D8A" w:rsidRDefault="0004580B" w:rsidP="004354BE">
            <w:pPr>
              <w:pStyle w:val="Body"/>
            </w:pPr>
            <w:r w:rsidRPr="003A2D8A">
              <w:t>80.6</w:t>
            </w:r>
          </w:p>
        </w:tc>
        <w:tc>
          <w:tcPr>
            <w:tcW w:w="661" w:type="dxa"/>
            <w:noWrap/>
            <w:hideMark/>
          </w:tcPr>
          <w:p w14:paraId="1FFA3E8C" w14:textId="77777777" w:rsidR="0004580B" w:rsidRPr="003A2D8A" w:rsidRDefault="0004580B" w:rsidP="004354BE">
            <w:pPr>
              <w:pStyle w:val="Body"/>
            </w:pPr>
            <w:r w:rsidRPr="003A2D8A">
              <w:t>73.7</w:t>
            </w:r>
          </w:p>
        </w:tc>
        <w:tc>
          <w:tcPr>
            <w:tcW w:w="661" w:type="dxa"/>
            <w:noWrap/>
            <w:hideMark/>
          </w:tcPr>
          <w:p w14:paraId="5E3E4E55" w14:textId="77777777" w:rsidR="0004580B" w:rsidRPr="003A2D8A" w:rsidRDefault="0004580B" w:rsidP="004354BE">
            <w:pPr>
              <w:pStyle w:val="Body"/>
            </w:pPr>
            <w:r w:rsidRPr="003A2D8A">
              <w:t>68.3</w:t>
            </w:r>
          </w:p>
        </w:tc>
        <w:tc>
          <w:tcPr>
            <w:tcW w:w="661" w:type="dxa"/>
            <w:noWrap/>
            <w:hideMark/>
          </w:tcPr>
          <w:p w14:paraId="17500C0A" w14:textId="77777777" w:rsidR="0004580B" w:rsidRPr="003A2D8A" w:rsidRDefault="0004580B" w:rsidP="004354BE">
            <w:pPr>
              <w:pStyle w:val="Body"/>
            </w:pPr>
            <w:r w:rsidRPr="003A2D8A">
              <w:t>65.4</w:t>
            </w:r>
          </w:p>
        </w:tc>
        <w:tc>
          <w:tcPr>
            <w:tcW w:w="661" w:type="dxa"/>
            <w:noWrap/>
            <w:hideMark/>
          </w:tcPr>
          <w:p w14:paraId="74EAAA74" w14:textId="77777777" w:rsidR="0004580B" w:rsidRPr="003A2D8A" w:rsidRDefault="0004580B" w:rsidP="004354BE">
            <w:pPr>
              <w:pStyle w:val="Body"/>
            </w:pPr>
            <w:r w:rsidRPr="003A2D8A">
              <w:t>62.7</w:t>
            </w:r>
          </w:p>
        </w:tc>
        <w:tc>
          <w:tcPr>
            <w:tcW w:w="661" w:type="dxa"/>
            <w:noWrap/>
            <w:hideMark/>
          </w:tcPr>
          <w:p w14:paraId="699A27A3" w14:textId="77777777" w:rsidR="0004580B" w:rsidRPr="003A2D8A" w:rsidRDefault="0004580B" w:rsidP="004354BE">
            <w:pPr>
              <w:pStyle w:val="Body"/>
            </w:pPr>
            <w:r w:rsidRPr="003A2D8A">
              <w:t>60.2</w:t>
            </w:r>
          </w:p>
        </w:tc>
        <w:tc>
          <w:tcPr>
            <w:tcW w:w="683" w:type="dxa"/>
            <w:noWrap/>
            <w:hideMark/>
          </w:tcPr>
          <w:p w14:paraId="59EF9006" w14:textId="77777777" w:rsidR="0004580B" w:rsidRPr="003A2D8A" w:rsidRDefault="0004580B" w:rsidP="004354BE">
            <w:pPr>
              <w:pStyle w:val="Body"/>
            </w:pPr>
            <w:r w:rsidRPr="003A2D8A">
              <w:t>56.7</w:t>
            </w:r>
          </w:p>
        </w:tc>
        <w:tc>
          <w:tcPr>
            <w:tcW w:w="661" w:type="dxa"/>
            <w:noWrap/>
            <w:hideMark/>
          </w:tcPr>
          <w:p w14:paraId="56752107" w14:textId="77777777" w:rsidR="0004580B" w:rsidRPr="003A2D8A" w:rsidRDefault="0004580B" w:rsidP="004354BE">
            <w:pPr>
              <w:pStyle w:val="Body"/>
            </w:pPr>
            <w:r w:rsidRPr="003A2D8A">
              <w:t>54.9</w:t>
            </w:r>
          </w:p>
        </w:tc>
        <w:tc>
          <w:tcPr>
            <w:tcW w:w="853" w:type="dxa"/>
            <w:noWrap/>
            <w:hideMark/>
          </w:tcPr>
          <w:p w14:paraId="6680E421" w14:textId="77777777" w:rsidR="0004580B" w:rsidRPr="003A2D8A" w:rsidRDefault="0004580B" w:rsidP="004354BE">
            <w:pPr>
              <w:pStyle w:val="Body"/>
            </w:pPr>
            <w:r w:rsidRPr="003A2D8A">
              <w:t>53.1</w:t>
            </w:r>
          </w:p>
        </w:tc>
      </w:tr>
    </w:tbl>
    <w:p w14:paraId="57C491BA" w14:textId="77777777" w:rsidR="0004580B" w:rsidRPr="00F32E15" w:rsidRDefault="0004580B" w:rsidP="00F41B98">
      <w:pPr>
        <w:pStyle w:val="Body"/>
        <w:spacing w:before="0" w:beforeAutospacing="0" w:after="0" w:afterAutospacing="0"/>
        <w:rPr>
          <w:i/>
          <w:lang w:val="en-GB"/>
        </w:rPr>
      </w:pPr>
      <w:r w:rsidRPr="00F32E15">
        <w:rPr>
          <w:i/>
          <w:u w:val="single"/>
          <w:lang w:val="en-GB"/>
        </w:rPr>
        <w:t>Source:</w:t>
      </w:r>
      <w:r w:rsidRPr="00F32E15">
        <w:rPr>
          <w:i/>
          <w:lang w:val="en-GB"/>
        </w:rPr>
        <w:t xml:space="preserve"> Population by educational attainment level, sex and age (%), Eurostat edat_lfse_03, last updated 25 April 2017.</w:t>
      </w:r>
    </w:p>
    <w:p w14:paraId="2B175E9E" w14:textId="0B264C47" w:rsidR="0004580B" w:rsidRPr="00F32E15" w:rsidRDefault="0004580B" w:rsidP="00F41B98">
      <w:pPr>
        <w:pStyle w:val="Body"/>
        <w:spacing w:before="0" w:beforeAutospacing="0" w:after="0" w:afterAutospacing="0"/>
        <w:rPr>
          <w:i/>
          <w:lang w:val="en-GB"/>
        </w:rPr>
      </w:pPr>
      <w:r w:rsidRPr="00F32E15">
        <w:rPr>
          <w:i/>
          <w:u w:val="single"/>
          <w:lang w:val="en-GB"/>
        </w:rPr>
        <w:t>Explanatory note:</w:t>
      </w:r>
      <w:r w:rsidRPr="00F32E15">
        <w:rPr>
          <w:i/>
          <w:lang w:val="en-GB"/>
        </w:rPr>
        <w:t xml:space="preserve"> this table compares the percentage of the population with low qualifications (ISCED levels 0-2) in 2016 to the EU-28 average for 2016 and the period 2000-2016. </w:t>
      </w:r>
    </w:p>
    <w:p w14:paraId="19A7B254" w14:textId="17CE18D0" w:rsidR="004354BE" w:rsidRPr="00F32E15" w:rsidRDefault="004354BE" w:rsidP="004354BE">
      <w:pPr>
        <w:pStyle w:val="Body"/>
        <w:rPr>
          <w:i/>
          <w:lang w:val="en-GB"/>
        </w:rPr>
      </w:pPr>
      <w:r w:rsidRPr="00F32E15">
        <w:rPr>
          <w:i/>
          <w:lang w:val="en-GB"/>
        </w:rPr>
        <w:t>-Comparison to EU data</w:t>
      </w:r>
    </w:p>
    <w:p w14:paraId="5170F02B" w14:textId="77777777" w:rsidR="004354BE" w:rsidRPr="00F32E15" w:rsidRDefault="004354BE" w:rsidP="004354BE">
      <w:pPr>
        <w:pStyle w:val="Body"/>
        <w:rPr>
          <w:lang w:val="en-GB"/>
        </w:rPr>
      </w:pPr>
      <w:r w:rsidRPr="00F32E15">
        <w:rPr>
          <w:lang w:val="en-GB"/>
        </w:rPr>
        <w:t>In 2016, the share of low-qualified adults (ISCED 0-2) in Portugal was 53.1%. This rate was more than twice the EU-28 average, a situation that can be noticed from 2005 (73.7% in Portugal and 30.6% in EU-28 average). This high share has however evolved from 80.6% in 2000 to 53.1% in 2016, in regular and constant decreases.</w:t>
      </w:r>
    </w:p>
    <w:p w14:paraId="74BA8F8A" w14:textId="3B8FBDA9" w:rsidR="004354BE" w:rsidRPr="00F32E15" w:rsidRDefault="004354BE" w:rsidP="004354BE">
      <w:pPr>
        <w:pStyle w:val="Body"/>
        <w:rPr>
          <w:i/>
          <w:lang w:val="en-GB"/>
        </w:rPr>
      </w:pPr>
      <w:r w:rsidRPr="00F32E15">
        <w:rPr>
          <w:i/>
          <w:lang w:val="en-GB"/>
        </w:rPr>
        <w:t>-Evolution over time</w:t>
      </w:r>
    </w:p>
    <w:p w14:paraId="34218CE1" w14:textId="77777777" w:rsidR="004354BE" w:rsidRPr="00F32E15" w:rsidRDefault="004354BE" w:rsidP="004354BE">
      <w:pPr>
        <w:pStyle w:val="Body"/>
        <w:rPr>
          <w:lang w:val="en-GB"/>
        </w:rPr>
      </w:pPr>
      <w:r w:rsidRPr="00F32E15">
        <w:rPr>
          <w:lang w:val="en-GB"/>
        </w:rPr>
        <w:t>From 2006 to 2015</w:t>
      </w:r>
      <w:r w:rsidRPr="005702B1">
        <w:rPr>
          <w:rStyle w:val="FootnoteReference"/>
        </w:rPr>
        <w:footnoteReference w:id="19"/>
      </w:r>
      <w:r w:rsidRPr="00F32E15">
        <w:rPr>
          <w:lang w:val="en-GB"/>
        </w:rPr>
        <w:t xml:space="preserve">, rates referring to the low qualified adults aged 15 years old or older (namely those that did not hold a school certification or those having completed the 6th year of school education) decreased. On the other hand, there was an increase of people holding the 9th year of school certification, upper secondary certification and tertiary </w:t>
      </w:r>
      <w:r w:rsidRPr="00F32E15">
        <w:rPr>
          <w:lang w:val="en-GB"/>
        </w:rPr>
        <w:lastRenderedPageBreak/>
        <w:t>education. Early school leaving has also decreased from 46.1% (male) and 30.7% (female) in 2006 to 16.4% (male) and 11% (female) in 2015.</w:t>
      </w:r>
    </w:p>
    <w:p w14:paraId="06267560" w14:textId="77777777" w:rsidR="004354BE" w:rsidRPr="00F32E15" w:rsidRDefault="004354BE" w:rsidP="004354BE">
      <w:pPr>
        <w:pStyle w:val="Body"/>
        <w:rPr>
          <w:lang w:val="en-GB"/>
        </w:rPr>
      </w:pPr>
      <w:r w:rsidRPr="00F32E15">
        <w:rPr>
          <w:lang w:val="en-GB"/>
        </w:rPr>
        <w:t>According to Eurostat, in 2015</w:t>
      </w:r>
      <w:r w:rsidRPr="005702B1">
        <w:rPr>
          <w:rStyle w:val="FootnoteReference"/>
        </w:rPr>
        <w:footnoteReference w:id="20"/>
      </w:r>
      <w:r w:rsidRPr="00F32E15">
        <w:rPr>
          <w:lang w:val="en-GB"/>
        </w:rPr>
        <w:t xml:space="preserve"> 48.4% of adults aged 25-54 years old held low educational attainment (levels 0-2), while 25.6% medium educational attainment (levels 3-4), and 26% had high educational attainment (levels 5-8). For adults aged 55-74 years old, 80.7% held low educational attainment, 8.8% had medium educational attainment and, 10.5% had high educational attainment.</w:t>
      </w:r>
    </w:p>
    <w:p w14:paraId="0C718AFE" w14:textId="77777777" w:rsidR="004354BE" w:rsidRPr="00F32E15" w:rsidRDefault="004354BE" w:rsidP="004354BE">
      <w:pPr>
        <w:pStyle w:val="Body"/>
        <w:rPr>
          <w:lang w:val="en-GB"/>
        </w:rPr>
      </w:pPr>
      <w:r w:rsidRPr="00F32E15">
        <w:rPr>
          <w:lang w:val="en-GB"/>
        </w:rPr>
        <w:t>Although educational attainment levels of the population have improved significantly over the last 40 years, Portugal is still among the five countries with the largest proportion of adults aged 25-64 years old below an upper secondary diploma (65%) and one of the three countries with the lowest proportion of adults aged 25-64 years old with tertiary education (17%). Portugal is part of a larger group of countries in which less than 30% of young adults (aged 25-35 years old) held tertiary qualifications</w:t>
      </w:r>
      <w:r w:rsidRPr="005702B1">
        <w:rPr>
          <w:rStyle w:val="FootnoteReference"/>
        </w:rPr>
        <w:footnoteReference w:id="21"/>
      </w:r>
      <w:r w:rsidRPr="00F32E15">
        <w:rPr>
          <w:lang w:val="en-GB"/>
        </w:rPr>
        <w:t>.</w:t>
      </w:r>
    </w:p>
    <w:p w14:paraId="7AEDDEB4" w14:textId="77777777" w:rsidR="004354BE" w:rsidRPr="00F32E15" w:rsidRDefault="004354BE" w:rsidP="004354BE">
      <w:pPr>
        <w:pStyle w:val="Body"/>
        <w:rPr>
          <w:lang w:val="en-GB"/>
        </w:rPr>
      </w:pPr>
      <w:r w:rsidRPr="00F32E15">
        <w:rPr>
          <w:lang w:val="en-GB"/>
        </w:rPr>
        <w:t>By 2013, cross-generational differences were clear, as the gap for those with below upper secondary education between older and younger adults was over 20%. Additionally, Portugal has still some of the highest proportion of younger adults (aged 25-34 years-old) with low qualifications (39%) and the lowest rate of young adults (aged 30-34 years old) with tertiary educational attainment (32%) in the European Union</w:t>
      </w:r>
      <w:r w:rsidRPr="005702B1">
        <w:rPr>
          <w:rStyle w:val="FootnoteReference"/>
        </w:rPr>
        <w:footnoteReference w:id="22"/>
      </w:r>
      <w:r w:rsidRPr="00F32E15">
        <w:rPr>
          <w:lang w:val="en-GB"/>
        </w:rPr>
        <w:t>.</w:t>
      </w:r>
    </w:p>
    <w:p w14:paraId="5748E867" w14:textId="5D943978" w:rsidR="004354BE" w:rsidRPr="00F32E15" w:rsidRDefault="004354BE" w:rsidP="004354BE">
      <w:pPr>
        <w:pStyle w:val="Body"/>
        <w:rPr>
          <w:lang w:val="en-GB"/>
        </w:rPr>
      </w:pPr>
      <w:r w:rsidRPr="00F32E15">
        <w:rPr>
          <w:lang w:val="en-GB"/>
        </w:rPr>
        <w:t>There are no recent data from PIAAC/OECD as Portugal has not been a participating country in this study.</w:t>
      </w:r>
    </w:p>
    <w:p w14:paraId="50970E23" w14:textId="77777777" w:rsidR="004354BE" w:rsidRPr="00F32E15" w:rsidRDefault="004354BE" w:rsidP="00F41B98">
      <w:pPr>
        <w:pStyle w:val="Heading3"/>
        <w:rPr>
          <w:lang w:val="en-GB"/>
        </w:rPr>
      </w:pPr>
      <w:bookmarkStart w:id="12" w:name="_Toc484689405"/>
      <w:r w:rsidRPr="00F32E15">
        <w:rPr>
          <w:lang w:val="en-GB"/>
        </w:rPr>
        <w:t>Employment rate of low skilled adults</w:t>
      </w:r>
      <w:bookmarkEnd w:id="12"/>
      <w:r w:rsidRPr="00F32E15">
        <w:rPr>
          <w:lang w:val="en-GB"/>
        </w:rPr>
        <w:t xml:space="preserve"> </w:t>
      </w:r>
    </w:p>
    <w:p w14:paraId="4E063572" w14:textId="77777777" w:rsidR="004354BE" w:rsidRPr="00F32E15" w:rsidRDefault="004354BE" w:rsidP="00F41B98">
      <w:pPr>
        <w:pStyle w:val="BodyText"/>
        <w:spacing w:after="0"/>
        <w:rPr>
          <w:b/>
          <w:lang w:val="en-GB"/>
        </w:rPr>
      </w:pPr>
      <w:r w:rsidRPr="00F32E15">
        <w:rPr>
          <w:b/>
          <w:lang w:val="en-GB"/>
        </w:rPr>
        <w:t>Table 1.</w:t>
      </w:r>
      <w:r w:rsidRPr="004354BE">
        <w:rPr>
          <w:b/>
        </w:rPr>
        <w:fldChar w:fldCharType="begin"/>
      </w:r>
      <w:r w:rsidRPr="00F32E15">
        <w:rPr>
          <w:b/>
          <w:lang w:val="en-GB"/>
        </w:rPr>
        <w:instrText xml:space="preserve"> SEQ Table \* ARABIC \s 1 </w:instrText>
      </w:r>
      <w:r w:rsidRPr="004354BE">
        <w:rPr>
          <w:b/>
        </w:rPr>
        <w:fldChar w:fldCharType="separate"/>
      </w:r>
      <w:r w:rsidRPr="00F32E15">
        <w:rPr>
          <w:b/>
          <w:lang w:val="en-GB"/>
        </w:rPr>
        <w:t>4</w:t>
      </w:r>
      <w:r w:rsidRPr="004354BE">
        <w:rPr>
          <w:b/>
        </w:rPr>
        <w:fldChar w:fldCharType="end"/>
      </w:r>
      <w:r w:rsidRPr="00F32E15">
        <w:rPr>
          <w:b/>
          <w:lang w:val="en-GB"/>
        </w:rPr>
        <w:t>: Employment rates of low skilled adults (ISCED 0-2) – national data (2010-2016) compared to EU-28 average 2016</w:t>
      </w:r>
    </w:p>
    <w:tbl>
      <w:tblPr>
        <w:tblStyle w:val="ecTable"/>
        <w:tblW w:w="5000" w:type="pct"/>
        <w:tblLook w:val="0420" w:firstRow="1" w:lastRow="0" w:firstColumn="0" w:lastColumn="0" w:noHBand="0" w:noVBand="1"/>
      </w:tblPr>
      <w:tblGrid>
        <w:gridCol w:w="1917"/>
        <w:gridCol w:w="772"/>
        <w:gridCol w:w="772"/>
        <w:gridCol w:w="772"/>
        <w:gridCol w:w="771"/>
        <w:gridCol w:w="771"/>
        <w:gridCol w:w="771"/>
        <w:gridCol w:w="771"/>
        <w:gridCol w:w="771"/>
        <w:gridCol w:w="908"/>
      </w:tblGrid>
      <w:tr w:rsidR="004354BE" w:rsidRPr="005E1544" w14:paraId="6721E707" w14:textId="77777777" w:rsidTr="004354BE">
        <w:trPr>
          <w:cnfStyle w:val="100000000000" w:firstRow="1" w:lastRow="0" w:firstColumn="0" w:lastColumn="0" w:oddVBand="0" w:evenVBand="0" w:oddHBand="0" w:evenHBand="0" w:firstRowFirstColumn="0" w:firstRowLastColumn="0" w:lastRowFirstColumn="0" w:lastRowLastColumn="0"/>
          <w:trHeight w:val="300"/>
        </w:trPr>
        <w:tc>
          <w:tcPr>
            <w:tcW w:w="1801" w:type="dxa"/>
            <w:noWrap/>
            <w:hideMark/>
          </w:tcPr>
          <w:p w14:paraId="5F3D435C" w14:textId="77777777" w:rsidR="004354BE" w:rsidRPr="005E1544" w:rsidRDefault="004354BE" w:rsidP="004354BE">
            <w:pPr>
              <w:pStyle w:val="Body"/>
            </w:pPr>
            <w:r w:rsidRPr="005E1544">
              <w:t>Geographical area</w:t>
            </w:r>
          </w:p>
        </w:tc>
        <w:tc>
          <w:tcPr>
            <w:tcW w:w="6163" w:type="dxa"/>
            <w:gridSpan w:val="9"/>
            <w:hideMark/>
          </w:tcPr>
          <w:p w14:paraId="4C4DFE4E" w14:textId="77777777" w:rsidR="004354BE" w:rsidRPr="005E1544" w:rsidRDefault="004354BE" w:rsidP="004354BE">
            <w:pPr>
              <w:pStyle w:val="Body"/>
            </w:pPr>
            <w:r w:rsidRPr="005E1544">
              <w:t>Years</w:t>
            </w:r>
          </w:p>
        </w:tc>
      </w:tr>
      <w:tr w:rsidR="004354BE" w:rsidRPr="005E1544" w14:paraId="1E1292C6" w14:textId="77777777" w:rsidTr="004354BE">
        <w:trPr>
          <w:trHeight w:val="300"/>
        </w:trPr>
        <w:tc>
          <w:tcPr>
            <w:tcW w:w="1801" w:type="dxa"/>
            <w:hideMark/>
          </w:tcPr>
          <w:p w14:paraId="1AA8D894" w14:textId="77777777" w:rsidR="004354BE" w:rsidRPr="005E1544" w:rsidRDefault="004354BE" w:rsidP="004354BE">
            <w:pPr>
              <w:pStyle w:val="Body"/>
            </w:pPr>
            <w:r w:rsidRPr="005E1544">
              <w:t> </w:t>
            </w:r>
          </w:p>
        </w:tc>
        <w:tc>
          <w:tcPr>
            <w:tcW w:w="661" w:type="dxa"/>
            <w:noWrap/>
            <w:hideMark/>
          </w:tcPr>
          <w:p w14:paraId="5A8961DB" w14:textId="77777777" w:rsidR="004354BE" w:rsidRPr="005E1544" w:rsidRDefault="004354BE" w:rsidP="004354BE">
            <w:pPr>
              <w:pStyle w:val="Body"/>
            </w:pPr>
            <w:r w:rsidRPr="005E1544">
              <w:t>2000</w:t>
            </w:r>
          </w:p>
        </w:tc>
        <w:tc>
          <w:tcPr>
            <w:tcW w:w="661" w:type="dxa"/>
            <w:noWrap/>
            <w:hideMark/>
          </w:tcPr>
          <w:p w14:paraId="637C0252" w14:textId="77777777" w:rsidR="004354BE" w:rsidRPr="005E1544" w:rsidRDefault="004354BE" w:rsidP="004354BE">
            <w:pPr>
              <w:pStyle w:val="Body"/>
            </w:pPr>
            <w:r w:rsidRPr="005E1544">
              <w:t>2005</w:t>
            </w:r>
          </w:p>
        </w:tc>
        <w:tc>
          <w:tcPr>
            <w:tcW w:w="661" w:type="dxa"/>
            <w:hideMark/>
          </w:tcPr>
          <w:p w14:paraId="2771F5FB" w14:textId="77777777" w:rsidR="004354BE" w:rsidRPr="005E1544" w:rsidRDefault="004354BE" w:rsidP="004354BE">
            <w:pPr>
              <w:pStyle w:val="Body"/>
            </w:pPr>
            <w:r w:rsidRPr="005E1544">
              <w:t>2010</w:t>
            </w:r>
          </w:p>
        </w:tc>
        <w:tc>
          <w:tcPr>
            <w:tcW w:w="661" w:type="dxa"/>
            <w:hideMark/>
          </w:tcPr>
          <w:p w14:paraId="59F67121" w14:textId="77777777" w:rsidR="004354BE" w:rsidRPr="005E1544" w:rsidRDefault="004354BE" w:rsidP="004354BE">
            <w:pPr>
              <w:pStyle w:val="Body"/>
            </w:pPr>
            <w:r w:rsidRPr="005E1544">
              <w:t>2011</w:t>
            </w:r>
          </w:p>
        </w:tc>
        <w:tc>
          <w:tcPr>
            <w:tcW w:w="661" w:type="dxa"/>
            <w:hideMark/>
          </w:tcPr>
          <w:p w14:paraId="5E5EDBBF" w14:textId="77777777" w:rsidR="004354BE" w:rsidRPr="005E1544" w:rsidRDefault="004354BE" w:rsidP="004354BE">
            <w:pPr>
              <w:pStyle w:val="Body"/>
            </w:pPr>
            <w:r w:rsidRPr="005E1544">
              <w:t>2012</w:t>
            </w:r>
          </w:p>
        </w:tc>
        <w:tc>
          <w:tcPr>
            <w:tcW w:w="661" w:type="dxa"/>
            <w:hideMark/>
          </w:tcPr>
          <w:p w14:paraId="782129A4" w14:textId="77777777" w:rsidR="004354BE" w:rsidRPr="005E1544" w:rsidRDefault="004354BE" w:rsidP="004354BE">
            <w:pPr>
              <w:pStyle w:val="Body"/>
            </w:pPr>
            <w:r w:rsidRPr="005E1544">
              <w:t>2013</w:t>
            </w:r>
          </w:p>
        </w:tc>
        <w:tc>
          <w:tcPr>
            <w:tcW w:w="683" w:type="dxa"/>
            <w:hideMark/>
          </w:tcPr>
          <w:p w14:paraId="2B477110" w14:textId="77777777" w:rsidR="004354BE" w:rsidRPr="005E1544" w:rsidRDefault="004354BE" w:rsidP="004354BE">
            <w:pPr>
              <w:pStyle w:val="Body"/>
            </w:pPr>
            <w:r w:rsidRPr="005E1544">
              <w:t>2014</w:t>
            </w:r>
          </w:p>
        </w:tc>
        <w:tc>
          <w:tcPr>
            <w:tcW w:w="661" w:type="dxa"/>
            <w:hideMark/>
          </w:tcPr>
          <w:p w14:paraId="6EC94FA5" w14:textId="77777777" w:rsidR="004354BE" w:rsidRPr="005E1544" w:rsidRDefault="004354BE" w:rsidP="004354BE">
            <w:pPr>
              <w:pStyle w:val="Body"/>
            </w:pPr>
            <w:r w:rsidRPr="005E1544">
              <w:t>2015</w:t>
            </w:r>
          </w:p>
        </w:tc>
        <w:tc>
          <w:tcPr>
            <w:tcW w:w="853" w:type="dxa"/>
            <w:hideMark/>
          </w:tcPr>
          <w:p w14:paraId="3C016F2B" w14:textId="77777777" w:rsidR="004354BE" w:rsidRPr="005E1544" w:rsidRDefault="004354BE" w:rsidP="004354BE">
            <w:pPr>
              <w:pStyle w:val="Body"/>
            </w:pPr>
            <w:r w:rsidRPr="005E1544">
              <w:t>2016</w:t>
            </w:r>
          </w:p>
        </w:tc>
      </w:tr>
      <w:tr w:rsidR="004354BE" w:rsidRPr="005E1544" w14:paraId="31AF666E" w14:textId="77777777" w:rsidTr="004354BE">
        <w:trPr>
          <w:trHeight w:val="510"/>
        </w:trPr>
        <w:tc>
          <w:tcPr>
            <w:tcW w:w="1801" w:type="dxa"/>
            <w:hideMark/>
          </w:tcPr>
          <w:p w14:paraId="49957AB7" w14:textId="77777777" w:rsidR="004354BE" w:rsidRPr="005E1544" w:rsidRDefault="004354BE" w:rsidP="004354BE">
            <w:pPr>
              <w:pStyle w:val="Body"/>
            </w:pPr>
            <w:r w:rsidRPr="005E1544">
              <w:t>EU-28 average</w:t>
            </w:r>
          </w:p>
        </w:tc>
        <w:tc>
          <w:tcPr>
            <w:tcW w:w="661" w:type="dxa"/>
            <w:noWrap/>
            <w:hideMark/>
          </w:tcPr>
          <w:p w14:paraId="06918E95" w14:textId="77777777" w:rsidR="004354BE" w:rsidRPr="005E1544" w:rsidRDefault="004354BE" w:rsidP="004354BE">
            <w:pPr>
              <w:pStyle w:val="Body"/>
            </w:pPr>
            <w:r w:rsidRPr="005E1544">
              <w:t>:</w:t>
            </w:r>
          </w:p>
        </w:tc>
        <w:tc>
          <w:tcPr>
            <w:tcW w:w="661" w:type="dxa"/>
            <w:noWrap/>
            <w:hideMark/>
          </w:tcPr>
          <w:p w14:paraId="1917A447" w14:textId="77777777" w:rsidR="004354BE" w:rsidRPr="005E1544" w:rsidRDefault="004354BE" w:rsidP="004354BE">
            <w:pPr>
              <w:pStyle w:val="Body"/>
            </w:pPr>
            <w:r w:rsidRPr="005E1544">
              <w:t>55.7</w:t>
            </w:r>
          </w:p>
        </w:tc>
        <w:tc>
          <w:tcPr>
            <w:tcW w:w="661" w:type="dxa"/>
            <w:hideMark/>
          </w:tcPr>
          <w:p w14:paraId="3B05E979" w14:textId="77777777" w:rsidR="004354BE" w:rsidRPr="005E1544" w:rsidRDefault="004354BE" w:rsidP="004354BE">
            <w:pPr>
              <w:pStyle w:val="Body"/>
            </w:pPr>
            <w:r w:rsidRPr="005E1544">
              <w:t>53.8</w:t>
            </w:r>
          </w:p>
        </w:tc>
        <w:tc>
          <w:tcPr>
            <w:tcW w:w="661" w:type="dxa"/>
            <w:hideMark/>
          </w:tcPr>
          <w:p w14:paraId="6CDA8AD7" w14:textId="77777777" w:rsidR="004354BE" w:rsidRPr="005E1544" w:rsidRDefault="004354BE" w:rsidP="004354BE">
            <w:pPr>
              <w:pStyle w:val="Body"/>
            </w:pPr>
            <w:r w:rsidRPr="005E1544">
              <w:t>53.4</w:t>
            </w:r>
          </w:p>
        </w:tc>
        <w:tc>
          <w:tcPr>
            <w:tcW w:w="661" w:type="dxa"/>
            <w:hideMark/>
          </w:tcPr>
          <w:p w14:paraId="170D49AD" w14:textId="77777777" w:rsidR="004354BE" w:rsidRPr="005E1544" w:rsidRDefault="004354BE" w:rsidP="004354BE">
            <w:pPr>
              <w:pStyle w:val="Body"/>
            </w:pPr>
            <w:r w:rsidRPr="005E1544">
              <w:t>52.7</w:t>
            </w:r>
          </w:p>
        </w:tc>
        <w:tc>
          <w:tcPr>
            <w:tcW w:w="661" w:type="dxa"/>
            <w:hideMark/>
          </w:tcPr>
          <w:p w14:paraId="73D03727" w14:textId="77777777" w:rsidR="004354BE" w:rsidRPr="005E1544" w:rsidRDefault="004354BE" w:rsidP="004354BE">
            <w:pPr>
              <w:pStyle w:val="Body"/>
            </w:pPr>
            <w:r w:rsidRPr="005E1544">
              <w:t>52</w:t>
            </w:r>
          </w:p>
        </w:tc>
        <w:tc>
          <w:tcPr>
            <w:tcW w:w="683" w:type="dxa"/>
            <w:hideMark/>
          </w:tcPr>
          <w:p w14:paraId="15E0D40C" w14:textId="77777777" w:rsidR="004354BE" w:rsidRPr="005E1544" w:rsidRDefault="004354BE" w:rsidP="004354BE">
            <w:pPr>
              <w:pStyle w:val="Body"/>
            </w:pPr>
            <w:r w:rsidRPr="005E1544">
              <w:t>52.6</w:t>
            </w:r>
          </w:p>
        </w:tc>
        <w:tc>
          <w:tcPr>
            <w:tcW w:w="661" w:type="dxa"/>
            <w:hideMark/>
          </w:tcPr>
          <w:p w14:paraId="6D339404" w14:textId="77777777" w:rsidR="004354BE" w:rsidRPr="005E1544" w:rsidRDefault="004354BE" w:rsidP="004354BE">
            <w:pPr>
              <w:pStyle w:val="Body"/>
            </w:pPr>
            <w:r w:rsidRPr="005E1544">
              <w:t>53.2</w:t>
            </w:r>
          </w:p>
        </w:tc>
        <w:tc>
          <w:tcPr>
            <w:tcW w:w="853" w:type="dxa"/>
            <w:hideMark/>
          </w:tcPr>
          <w:p w14:paraId="6EC25E7A" w14:textId="77777777" w:rsidR="004354BE" w:rsidRPr="005E1544" w:rsidRDefault="004354BE" w:rsidP="004354BE">
            <w:pPr>
              <w:pStyle w:val="Body"/>
            </w:pPr>
            <w:r w:rsidRPr="005E1544">
              <w:t>54.3</w:t>
            </w:r>
          </w:p>
        </w:tc>
      </w:tr>
      <w:tr w:rsidR="004354BE" w:rsidRPr="005E1544" w14:paraId="3E171662" w14:textId="77777777" w:rsidTr="004354BE">
        <w:trPr>
          <w:trHeight w:val="300"/>
        </w:trPr>
        <w:tc>
          <w:tcPr>
            <w:tcW w:w="1801" w:type="dxa"/>
            <w:noWrap/>
            <w:hideMark/>
          </w:tcPr>
          <w:p w14:paraId="30F96A65" w14:textId="77777777" w:rsidR="004354BE" w:rsidRPr="005E1544" w:rsidRDefault="004354BE" w:rsidP="004354BE">
            <w:pPr>
              <w:pStyle w:val="Body"/>
            </w:pPr>
            <w:r w:rsidRPr="005E1544">
              <w:t>Portugal</w:t>
            </w:r>
          </w:p>
        </w:tc>
        <w:tc>
          <w:tcPr>
            <w:tcW w:w="661" w:type="dxa"/>
            <w:noWrap/>
            <w:hideMark/>
          </w:tcPr>
          <w:p w14:paraId="6B7375C3" w14:textId="77777777" w:rsidR="004354BE" w:rsidRPr="005E1544" w:rsidRDefault="004354BE" w:rsidP="004354BE">
            <w:pPr>
              <w:pStyle w:val="Body"/>
            </w:pPr>
            <w:r w:rsidRPr="005E1544">
              <w:t>72.8</w:t>
            </w:r>
          </w:p>
        </w:tc>
        <w:tc>
          <w:tcPr>
            <w:tcW w:w="661" w:type="dxa"/>
            <w:noWrap/>
            <w:hideMark/>
          </w:tcPr>
          <w:p w14:paraId="4779A836" w14:textId="77777777" w:rsidR="004354BE" w:rsidRPr="005E1544" w:rsidRDefault="004354BE" w:rsidP="004354BE">
            <w:pPr>
              <w:pStyle w:val="Body"/>
            </w:pPr>
            <w:r w:rsidRPr="005E1544">
              <w:t>71.4</w:t>
            </w:r>
          </w:p>
        </w:tc>
        <w:tc>
          <w:tcPr>
            <w:tcW w:w="661" w:type="dxa"/>
            <w:noWrap/>
            <w:hideMark/>
          </w:tcPr>
          <w:p w14:paraId="2136E886" w14:textId="77777777" w:rsidR="004354BE" w:rsidRPr="005E1544" w:rsidRDefault="004354BE" w:rsidP="004354BE">
            <w:pPr>
              <w:pStyle w:val="Body"/>
            </w:pPr>
            <w:r w:rsidRPr="005E1544">
              <w:t>68.1</w:t>
            </w:r>
          </w:p>
        </w:tc>
        <w:tc>
          <w:tcPr>
            <w:tcW w:w="661" w:type="dxa"/>
            <w:noWrap/>
            <w:hideMark/>
          </w:tcPr>
          <w:p w14:paraId="52832C67" w14:textId="77777777" w:rsidR="004354BE" w:rsidRPr="005E1544" w:rsidRDefault="004354BE" w:rsidP="004354BE">
            <w:pPr>
              <w:pStyle w:val="Body"/>
            </w:pPr>
            <w:r w:rsidRPr="005E1544">
              <w:t>65.7</w:t>
            </w:r>
          </w:p>
        </w:tc>
        <w:tc>
          <w:tcPr>
            <w:tcW w:w="661" w:type="dxa"/>
            <w:noWrap/>
            <w:hideMark/>
          </w:tcPr>
          <w:p w14:paraId="0D4B4F73" w14:textId="77777777" w:rsidR="004354BE" w:rsidRPr="005E1544" w:rsidRDefault="004354BE" w:rsidP="004354BE">
            <w:pPr>
              <w:pStyle w:val="Body"/>
            </w:pPr>
            <w:r w:rsidRPr="005E1544">
              <w:t>62.9</w:t>
            </w:r>
          </w:p>
        </w:tc>
        <w:tc>
          <w:tcPr>
            <w:tcW w:w="661" w:type="dxa"/>
            <w:noWrap/>
            <w:hideMark/>
          </w:tcPr>
          <w:p w14:paraId="1D33B510" w14:textId="77777777" w:rsidR="004354BE" w:rsidRPr="005E1544" w:rsidRDefault="004354BE" w:rsidP="004354BE">
            <w:pPr>
              <w:pStyle w:val="Body"/>
            </w:pPr>
            <w:r w:rsidRPr="005E1544">
              <w:t>61.6</w:t>
            </w:r>
          </w:p>
        </w:tc>
        <w:tc>
          <w:tcPr>
            <w:tcW w:w="683" w:type="dxa"/>
            <w:noWrap/>
            <w:hideMark/>
          </w:tcPr>
          <w:p w14:paraId="63B5E8D3" w14:textId="77777777" w:rsidR="004354BE" w:rsidRPr="005E1544" w:rsidRDefault="004354BE" w:rsidP="004354BE">
            <w:pPr>
              <w:pStyle w:val="Body"/>
            </w:pPr>
            <w:r w:rsidRPr="005E1544">
              <w:t>63</w:t>
            </w:r>
          </w:p>
        </w:tc>
        <w:tc>
          <w:tcPr>
            <w:tcW w:w="661" w:type="dxa"/>
            <w:noWrap/>
            <w:hideMark/>
          </w:tcPr>
          <w:p w14:paraId="54B1C177" w14:textId="77777777" w:rsidR="004354BE" w:rsidRPr="005E1544" w:rsidRDefault="004354BE" w:rsidP="004354BE">
            <w:pPr>
              <w:pStyle w:val="Body"/>
            </w:pPr>
            <w:r w:rsidRPr="005E1544">
              <w:t>64.3</w:t>
            </w:r>
          </w:p>
        </w:tc>
        <w:tc>
          <w:tcPr>
            <w:tcW w:w="853" w:type="dxa"/>
            <w:noWrap/>
            <w:hideMark/>
          </w:tcPr>
          <w:p w14:paraId="4257D1C4" w14:textId="77777777" w:rsidR="004354BE" w:rsidRPr="005E1544" w:rsidRDefault="004354BE" w:rsidP="004354BE">
            <w:pPr>
              <w:pStyle w:val="Body"/>
            </w:pPr>
            <w:r w:rsidRPr="005E1544">
              <w:t>65.5</w:t>
            </w:r>
          </w:p>
        </w:tc>
      </w:tr>
    </w:tbl>
    <w:p w14:paraId="16C280B3" w14:textId="77777777" w:rsidR="004354BE" w:rsidRPr="00F32E15" w:rsidRDefault="004354BE" w:rsidP="00F41B98">
      <w:pPr>
        <w:pStyle w:val="Body"/>
        <w:spacing w:before="0" w:beforeAutospacing="0" w:after="0" w:afterAutospacing="0"/>
        <w:rPr>
          <w:i/>
          <w:lang w:val="en-GB"/>
        </w:rPr>
      </w:pPr>
      <w:r w:rsidRPr="00F32E15">
        <w:rPr>
          <w:i/>
          <w:u w:val="single"/>
          <w:lang w:val="en-GB"/>
        </w:rPr>
        <w:t>Source:</w:t>
      </w:r>
      <w:r w:rsidRPr="00F32E15">
        <w:rPr>
          <w:i/>
          <w:lang w:val="en-GB"/>
        </w:rPr>
        <w:t xml:space="preserve"> Employment rates by age and educational attainment level (%) Eurostat code lfsa_ergaed, last updated 25 April 2017.</w:t>
      </w:r>
    </w:p>
    <w:p w14:paraId="3ED0175D" w14:textId="77777777" w:rsidR="004354BE" w:rsidRPr="00F32E15" w:rsidRDefault="004354BE" w:rsidP="00F41B98">
      <w:pPr>
        <w:pStyle w:val="Body"/>
        <w:spacing w:before="0" w:beforeAutospacing="0" w:after="0" w:afterAutospacing="0"/>
        <w:rPr>
          <w:i/>
          <w:lang w:val="en-GB"/>
        </w:rPr>
      </w:pPr>
      <w:r w:rsidRPr="00F32E15">
        <w:rPr>
          <w:i/>
          <w:u w:val="single"/>
          <w:lang w:val="en-GB"/>
        </w:rPr>
        <w:t>Explanatory note:</w:t>
      </w:r>
      <w:r w:rsidRPr="00F32E15">
        <w:rPr>
          <w:i/>
          <w:lang w:val="en-GB"/>
        </w:rPr>
        <w:t xml:space="preserve"> This table compares the employment rates of those with low qualifications (ISCED levels 0-2) to the EU average over the period 2010-2016. </w:t>
      </w:r>
    </w:p>
    <w:p w14:paraId="11E8D8E8" w14:textId="1D42DA2E" w:rsidR="004354BE" w:rsidRPr="00F32E15" w:rsidRDefault="004354BE" w:rsidP="004354BE">
      <w:pPr>
        <w:pStyle w:val="Body"/>
        <w:rPr>
          <w:i/>
          <w:lang w:val="en-GB"/>
        </w:rPr>
      </w:pPr>
      <w:r w:rsidRPr="00F32E15">
        <w:rPr>
          <w:i/>
          <w:lang w:val="en-GB"/>
        </w:rPr>
        <w:t>-Comparison to EU data</w:t>
      </w:r>
    </w:p>
    <w:p w14:paraId="2CD603FD" w14:textId="77777777" w:rsidR="004354BE" w:rsidRPr="00F32E15" w:rsidRDefault="004354BE" w:rsidP="004354BE">
      <w:pPr>
        <w:pStyle w:val="Body"/>
        <w:rPr>
          <w:lang w:val="en-GB"/>
        </w:rPr>
      </w:pPr>
      <w:r w:rsidRPr="00F32E15">
        <w:rPr>
          <w:lang w:val="en-GB"/>
        </w:rPr>
        <w:lastRenderedPageBreak/>
        <w:t>Employment rate of low skilled adults in 2016 was 65.5%, a higher rate than the EU-28 average (54.3%). The employment rates of low skilled adults in Portugal since 2000 (72.8%) have decreased up until 2013 (61.6%), a similar situation to the EU-28 average rates (55.7% in 2005 to 52% in 2013). From 2014 to 2016 rates have increased (in Portugal from 63% to 65.5% such as in EU-28 average from 63% to 65.5%).</w:t>
      </w:r>
    </w:p>
    <w:p w14:paraId="2963D43B" w14:textId="72B75C55" w:rsidR="004354BE" w:rsidRPr="00F32E15" w:rsidRDefault="004354BE" w:rsidP="004354BE">
      <w:pPr>
        <w:pStyle w:val="Body"/>
        <w:rPr>
          <w:i/>
          <w:lang w:val="en-GB"/>
        </w:rPr>
      </w:pPr>
      <w:r w:rsidRPr="00F32E15">
        <w:rPr>
          <w:i/>
          <w:lang w:val="en-GB"/>
        </w:rPr>
        <w:t>-Evolution over time</w:t>
      </w:r>
    </w:p>
    <w:p w14:paraId="75D1B4AC" w14:textId="77777777" w:rsidR="004354BE" w:rsidRPr="00F32E15" w:rsidRDefault="004354BE" w:rsidP="004354BE">
      <w:pPr>
        <w:pStyle w:val="Body"/>
        <w:rPr>
          <w:lang w:val="en-GB"/>
        </w:rPr>
      </w:pPr>
      <w:r w:rsidRPr="00F32E15">
        <w:rPr>
          <w:lang w:val="en-GB"/>
        </w:rPr>
        <w:t>The high employment rate of low skilled adults in Portugal when compared to EU-28 average is dependent upon the economy and existing enterprises that are mainly micro (up to 10 workers) and small (up to 50 workers), many of these hiring low skilled adults</w:t>
      </w:r>
      <w:r w:rsidRPr="005D48C3">
        <w:rPr>
          <w:rStyle w:val="FootnoteReference"/>
        </w:rPr>
        <w:footnoteReference w:id="23"/>
      </w:r>
      <w:r w:rsidRPr="00F32E15">
        <w:rPr>
          <w:lang w:val="en-GB"/>
        </w:rPr>
        <w:t xml:space="preserve"> working in traditional economic sectors that do not require highly skilled workmanship.</w:t>
      </w:r>
    </w:p>
    <w:p w14:paraId="1A6D9826" w14:textId="2862811E" w:rsidR="004354BE" w:rsidRPr="00F32E15" w:rsidRDefault="004354BE" w:rsidP="004354BE">
      <w:pPr>
        <w:pStyle w:val="Body"/>
        <w:rPr>
          <w:lang w:val="en-GB"/>
        </w:rPr>
      </w:pPr>
      <w:r w:rsidRPr="00F32E15">
        <w:rPr>
          <w:lang w:val="en-GB"/>
        </w:rPr>
        <w:t>The employment rate of low skilled adults follow a similar pattern of the employment rate of all levels that in 2015 was of 69.1%, the highest level since 2011 (68.8%) although from 2011 to 2013 (65.4%) there was a decrease. Regarding the employment rates of differently qualified adults aged 20-64 years old, the rate of the low qualified adults (levels 0-2) is significantly lower than the other rates and has noted a decrease from 2011 (65.2%) to 2015 (63.5%); the lowest rate was in 2013 (60.8%)</w:t>
      </w:r>
      <w:r w:rsidRPr="005D48C3">
        <w:rPr>
          <w:rStyle w:val="FootnoteReference"/>
        </w:rPr>
        <w:footnoteReference w:id="24"/>
      </w:r>
      <w:r w:rsidRPr="00F32E15">
        <w:rPr>
          <w:lang w:val="en-GB"/>
        </w:rPr>
        <w:t>.</w:t>
      </w:r>
    </w:p>
    <w:p w14:paraId="0AB89FC1" w14:textId="77777777" w:rsidR="004354BE" w:rsidRPr="00F32E15" w:rsidRDefault="004354BE" w:rsidP="00F41B98">
      <w:pPr>
        <w:pStyle w:val="Heading3"/>
        <w:rPr>
          <w:lang w:val="en-GB"/>
        </w:rPr>
      </w:pPr>
      <w:bookmarkStart w:id="13" w:name="_Toc484689406"/>
      <w:r w:rsidRPr="00F32E15">
        <w:rPr>
          <w:lang w:val="en-GB"/>
        </w:rPr>
        <w:t>Participation rate of low skilled adults</w:t>
      </w:r>
      <w:bookmarkEnd w:id="13"/>
      <w:r w:rsidRPr="00F32E15">
        <w:rPr>
          <w:lang w:val="en-GB"/>
        </w:rPr>
        <w:t xml:space="preserve"> </w:t>
      </w:r>
    </w:p>
    <w:p w14:paraId="67D55B8B" w14:textId="77777777" w:rsidR="004354BE" w:rsidRPr="00F32E15" w:rsidRDefault="004354BE" w:rsidP="00F41B98">
      <w:pPr>
        <w:pStyle w:val="BodyText"/>
        <w:spacing w:after="0"/>
        <w:rPr>
          <w:b/>
          <w:lang w:val="en-GB"/>
        </w:rPr>
      </w:pPr>
      <w:r w:rsidRPr="00F32E15">
        <w:rPr>
          <w:b/>
          <w:lang w:val="en-GB"/>
        </w:rPr>
        <w:t>Tabel 1.</w:t>
      </w:r>
      <w:r w:rsidRPr="004354BE">
        <w:rPr>
          <w:b/>
        </w:rPr>
        <w:fldChar w:fldCharType="begin"/>
      </w:r>
      <w:r w:rsidRPr="00F32E15">
        <w:rPr>
          <w:b/>
          <w:lang w:val="en-GB"/>
        </w:rPr>
        <w:instrText xml:space="preserve"> SEQ Table \* ARABIC \s 1 </w:instrText>
      </w:r>
      <w:r w:rsidRPr="004354BE">
        <w:rPr>
          <w:b/>
        </w:rPr>
        <w:fldChar w:fldCharType="separate"/>
      </w:r>
      <w:r w:rsidRPr="00F32E15">
        <w:rPr>
          <w:b/>
          <w:lang w:val="en-GB"/>
        </w:rPr>
        <w:t>5</w:t>
      </w:r>
      <w:r w:rsidRPr="004354BE">
        <w:rPr>
          <w:b/>
        </w:rPr>
        <w:fldChar w:fldCharType="end"/>
      </w:r>
      <w:r w:rsidRPr="00F32E15">
        <w:rPr>
          <w:b/>
          <w:lang w:val="en-GB"/>
        </w:rPr>
        <w:t xml:space="preserve">: Participation rate of low skilled adults – EU average in comparison to national average </w:t>
      </w:r>
    </w:p>
    <w:tbl>
      <w:tblPr>
        <w:tblStyle w:val="ecTable"/>
        <w:tblW w:w="5000" w:type="pct"/>
        <w:tblLook w:val="0420" w:firstRow="1" w:lastRow="0" w:firstColumn="0" w:lastColumn="0" w:noHBand="0" w:noVBand="1"/>
      </w:tblPr>
      <w:tblGrid>
        <w:gridCol w:w="1917"/>
        <w:gridCol w:w="772"/>
        <w:gridCol w:w="772"/>
        <w:gridCol w:w="772"/>
        <w:gridCol w:w="771"/>
        <w:gridCol w:w="771"/>
        <w:gridCol w:w="771"/>
        <w:gridCol w:w="771"/>
        <w:gridCol w:w="771"/>
        <w:gridCol w:w="908"/>
      </w:tblGrid>
      <w:tr w:rsidR="004354BE" w:rsidRPr="00184C93" w14:paraId="32CDAD91" w14:textId="77777777" w:rsidTr="004354BE">
        <w:trPr>
          <w:cnfStyle w:val="100000000000" w:firstRow="1" w:lastRow="0" w:firstColumn="0" w:lastColumn="0" w:oddVBand="0" w:evenVBand="0" w:oddHBand="0" w:evenHBand="0" w:firstRowFirstColumn="0" w:firstRowLastColumn="0" w:lastRowFirstColumn="0" w:lastRowLastColumn="0"/>
          <w:trHeight w:val="300"/>
        </w:trPr>
        <w:tc>
          <w:tcPr>
            <w:tcW w:w="1801" w:type="dxa"/>
            <w:noWrap/>
            <w:hideMark/>
          </w:tcPr>
          <w:p w14:paraId="7F25D8AE" w14:textId="77777777" w:rsidR="004354BE" w:rsidRPr="00184C93" w:rsidRDefault="004354BE" w:rsidP="004354BE">
            <w:pPr>
              <w:pStyle w:val="Body"/>
            </w:pPr>
            <w:r w:rsidRPr="00184C93">
              <w:t>Geographical area</w:t>
            </w:r>
          </w:p>
        </w:tc>
        <w:tc>
          <w:tcPr>
            <w:tcW w:w="6163" w:type="dxa"/>
            <w:gridSpan w:val="9"/>
            <w:hideMark/>
          </w:tcPr>
          <w:p w14:paraId="69F68EB5" w14:textId="77777777" w:rsidR="004354BE" w:rsidRPr="00184C93" w:rsidRDefault="004354BE" w:rsidP="004354BE">
            <w:pPr>
              <w:pStyle w:val="Body"/>
            </w:pPr>
            <w:r w:rsidRPr="00184C93">
              <w:t>Years</w:t>
            </w:r>
          </w:p>
        </w:tc>
      </w:tr>
      <w:tr w:rsidR="004354BE" w:rsidRPr="00184C93" w14:paraId="41C26B3A" w14:textId="77777777" w:rsidTr="004354BE">
        <w:trPr>
          <w:trHeight w:val="300"/>
        </w:trPr>
        <w:tc>
          <w:tcPr>
            <w:tcW w:w="1801" w:type="dxa"/>
            <w:noWrap/>
            <w:hideMark/>
          </w:tcPr>
          <w:p w14:paraId="1788582A" w14:textId="77777777" w:rsidR="004354BE" w:rsidRPr="00184C93" w:rsidRDefault="004354BE" w:rsidP="004354BE">
            <w:pPr>
              <w:pStyle w:val="Body"/>
            </w:pPr>
            <w:r w:rsidRPr="00184C93">
              <w:t> </w:t>
            </w:r>
          </w:p>
        </w:tc>
        <w:tc>
          <w:tcPr>
            <w:tcW w:w="661" w:type="dxa"/>
            <w:noWrap/>
            <w:hideMark/>
          </w:tcPr>
          <w:p w14:paraId="64AAF77B" w14:textId="77777777" w:rsidR="004354BE" w:rsidRPr="00184C93" w:rsidRDefault="004354BE" w:rsidP="004354BE">
            <w:pPr>
              <w:pStyle w:val="Body"/>
            </w:pPr>
            <w:r w:rsidRPr="00184C93">
              <w:t>2000</w:t>
            </w:r>
          </w:p>
        </w:tc>
        <w:tc>
          <w:tcPr>
            <w:tcW w:w="661" w:type="dxa"/>
            <w:noWrap/>
            <w:hideMark/>
          </w:tcPr>
          <w:p w14:paraId="0DE51AAE" w14:textId="77777777" w:rsidR="004354BE" w:rsidRPr="00184C93" w:rsidRDefault="004354BE" w:rsidP="004354BE">
            <w:pPr>
              <w:pStyle w:val="Body"/>
            </w:pPr>
            <w:r w:rsidRPr="00184C93">
              <w:t>2005</w:t>
            </w:r>
          </w:p>
        </w:tc>
        <w:tc>
          <w:tcPr>
            <w:tcW w:w="661" w:type="dxa"/>
            <w:hideMark/>
          </w:tcPr>
          <w:p w14:paraId="293D3564" w14:textId="77777777" w:rsidR="004354BE" w:rsidRPr="00184C93" w:rsidRDefault="004354BE" w:rsidP="004354BE">
            <w:pPr>
              <w:pStyle w:val="Body"/>
            </w:pPr>
            <w:r w:rsidRPr="00184C93">
              <w:t>2010</w:t>
            </w:r>
          </w:p>
        </w:tc>
        <w:tc>
          <w:tcPr>
            <w:tcW w:w="661" w:type="dxa"/>
            <w:hideMark/>
          </w:tcPr>
          <w:p w14:paraId="2C360F4D" w14:textId="77777777" w:rsidR="004354BE" w:rsidRPr="00184C93" w:rsidRDefault="004354BE" w:rsidP="004354BE">
            <w:pPr>
              <w:pStyle w:val="Body"/>
            </w:pPr>
            <w:r w:rsidRPr="00184C93">
              <w:t>2011</w:t>
            </w:r>
          </w:p>
        </w:tc>
        <w:tc>
          <w:tcPr>
            <w:tcW w:w="661" w:type="dxa"/>
            <w:hideMark/>
          </w:tcPr>
          <w:p w14:paraId="30F5CBE0" w14:textId="77777777" w:rsidR="004354BE" w:rsidRPr="00184C93" w:rsidRDefault="004354BE" w:rsidP="004354BE">
            <w:pPr>
              <w:pStyle w:val="Body"/>
            </w:pPr>
            <w:r w:rsidRPr="00184C93">
              <w:t>2012</w:t>
            </w:r>
          </w:p>
        </w:tc>
        <w:tc>
          <w:tcPr>
            <w:tcW w:w="661" w:type="dxa"/>
            <w:hideMark/>
          </w:tcPr>
          <w:p w14:paraId="609B0E1D" w14:textId="77777777" w:rsidR="004354BE" w:rsidRPr="00184C93" w:rsidRDefault="004354BE" w:rsidP="004354BE">
            <w:pPr>
              <w:pStyle w:val="Body"/>
            </w:pPr>
            <w:r w:rsidRPr="00184C93">
              <w:t>2013</w:t>
            </w:r>
          </w:p>
        </w:tc>
        <w:tc>
          <w:tcPr>
            <w:tcW w:w="683" w:type="dxa"/>
            <w:hideMark/>
          </w:tcPr>
          <w:p w14:paraId="37796226" w14:textId="77777777" w:rsidR="004354BE" w:rsidRPr="00184C93" w:rsidRDefault="004354BE" w:rsidP="004354BE">
            <w:pPr>
              <w:pStyle w:val="Body"/>
            </w:pPr>
            <w:r w:rsidRPr="00184C93">
              <w:t>2014</w:t>
            </w:r>
          </w:p>
        </w:tc>
        <w:tc>
          <w:tcPr>
            <w:tcW w:w="661" w:type="dxa"/>
            <w:hideMark/>
          </w:tcPr>
          <w:p w14:paraId="46B7300F" w14:textId="77777777" w:rsidR="004354BE" w:rsidRPr="00184C93" w:rsidRDefault="004354BE" w:rsidP="004354BE">
            <w:pPr>
              <w:pStyle w:val="Body"/>
            </w:pPr>
            <w:r w:rsidRPr="00184C93">
              <w:t>2015</w:t>
            </w:r>
          </w:p>
        </w:tc>
        <w:tc>
          <w:tcPr>
            <w:tcW w:w="853" w:type="dxa"/>
            <w:hideMark/>
          </w:tcPr>
          <w:p w14:paraId="7CBB8AA2" w14:textId="77777777" w:rsidR="004354BE" w:rsidRPr="00184C93" w:rsidRDefault="004354BE" w:rsidP="004354BE">
            <w:pPr>
              <w:pStyle w:val="Body"/>
            </w:pPr>
            <w:r w:rsidRPr="00184C93">
              <w:t>2016</w:t>
            </w:r>
          </w:p>
        </w:tc>
      </w:tr>
      <w:tr w:rsidR="004354BE" w:rsidRPr="00184C93" w14:paraId="70171ADF" w14:textId="77777777" w:rsidTr="004354BE">
        <w:trPr>
          <w:trHeight w:val="300"/>
        </w:trPr>
        <w:tc>
          <w:tcPr>
            <w:tcW w:w="1801" w:type="dxa"/>
            <w:noWrap/>
            <w:hideMark/>
          </w:tcPr>
          <w:p w14:paraId="5A986C02" w14:textId="77777777" w:rsidR="004354BE" w:rsidRPr="00184C93" w:rsidRDefault="004354BE" w:rsidP="004354BE">
            <w:pPr>
              <w:pStyle w:val="Body"/>
            </w:pPr>
            <w:r w:rsidRPr="00184C93">
              <w:t>EU-28 average</w:t>
            </w:r>
          </w:p>
        </w:tc>
        <w:tc>
          <w:tcPr>
            <w:tcW w:w="661" w:type="dxa"/>
            <w:noWrap/>
            <w:hideMark/>
          </w:tcPr>
          <w:p w14:paraId="24745DB2" w14:textId="77777777" w:rsidR="004354BE" w:rsidRPr="00184C93" w:rsidRDefault="004354BE" w:rsidP="004354BE">
            <w:pPr>
              <w:pStyle w:val="Body"/>
            </w:pPr>
            <w:r w:rsidRPr="00184C93">
              <w:t>:</w:t>
            </w:r>
          </w:p>
        </w:tc>
        <w:tc>
          <w:tcPr>
            <w:tcW w:w="661" w:type="dxa"/>
            <w:noWrap/>
            <w:hideMark/>
          </w:tcPr>
          <w:p w14:paraId="1F3B4EC2" w14:textId="77777777" w:rsidR="004354BE" w:rsidRPr="00184C93" w:rsidRDefault="004354BE" w:rsidP="004354BE">
            <w:pPr>
              <w:pStyle w:val="Body"/>
            </w:pPr>
            <w:r w:rsidRPr="00184C93">
              <w:t>3.7</w:t>
            </w:r>
          </w:p>
        </w:tc>
        <w:tc>
          <w:tcPr>
            <w:tcW w:w="661" w:type="dxa"/>
            <w:noWrap/>
            <w:hideMark/>
          </w:tcPr>
          <w:p w14:paraId="41491AD4" w14:textId="77777777" w:rsidR="004354BE" w:rsidRPr="00184C93" w:rsidRDefault="004354BE" w:rsidP="004354BE">
            <w:pPr>
              <w:pStyle w:val="Body"/>
            </w:pPr>
            <w:r w:rsidRPr="00184C93">
              <w:t>3.9</w:t>
            </w:r>
          </w:p>
        </w:tc>
        <w:tc>
          <w:tcPr>
            <w:tcW w:w="661" w:type="dxa"/>
            <w:noWrap/>
            <w:hideMark/>
          </w:tcPr>
          <w:p w14:paraId="2C971341" w14:textId="77777777" w:rsidR="004354BE" w:rsidRPr="00184C93" w:rsidRDefault="004354BE" w:rsidP="004354BE">
            <w:pPr>
              <w:pStyle w:val="Body"/>
            </w:pPr>
            <w:r w:rsidRPr="00184C93">
              <w:t>4</w:t>
            </w:r>
          </w:p>
        </w:tc>
        <w:tc>
          <w:tcPr>
            <w:tcW w:w="661" w:type="dxa"/>
            <w:noWrap/>
            <w:hideMark/>
          </w:tcPr>
          <w:p w14:paraId="3ACA6F18" w14:textId="77777777" w:rsidR="004354BE" w:rsidRPr="00184C93" w:rsidRDefault="004354BE" w:rsidP="004354BE">
            <w:pPr>
              <w:pStyle w:val="Body"/>
            </w:pPr>
            <w:r w:rsidRPr="00184C93">
              <w:t>3.9</w:t>
            </w:r>
          </w:p>
        </w:tc>
        <w:tc>
          <w:tcPr>
            <w:tcW w:w="661" w:type="dxa"/>
            <w:noWrap/>
            <w:hideMark/>
          </w:tcPr>
          <w:p w14:paraId="0314B454" w14:textId="77777777" w:rsidR="004354BE" w:rsidRPr="00184C93" w:rsidRDefault="004354BE" w:rsidP="004354BE">
            <w:pPr>
              <w:pStyle w:val="Body"/>
            </w:pPr>
            <w:r w:rsidRPr="00184C93">
              <w:t>4.5</w:t>
            </w:r>
          </w:p>
        </w:tc>
        <w:tc>
          <w:tcPr>
            <w:tcW w:w="683" w:type="dxa"/>
            <w:noWrap/>
            <w:hideMark/>
          </w:tcPr>
          <w:p w14:paraId="4C56AE5E" w14:textId="77777777" w:rsidR="004354BE" w:rsidRPr="00184C93" w:rsidRDefault="004354BE" w:rsidP="004354BE">
            <w:pPr>
              <w:pStyle w:val="Body"/>
            </w:pPr>
            <w:r w:rsidRPr="00184C93">
              <w:t>4.5</w:t>
            </w:r>
          </w:p>
        </w:tc>
        <w:tc>
          <w:tcPr>
            <w:tcW w:w="661" w:type="dxa"/>
            <w:noWrap/>
            <w:hideMark/>
          </w:tcPr>
          <w:p w14:paraId="346C1A4D" w14:textId="77777777" w:rsidR="004354BE" w:rsidRPr="00184C93" w:rsidRDefault="004354BE" w:rsidP="004354BE">
            <w:pPr>
              <w:pStyle w:val="Body"/>
            </w:pPr>
            <w:r w:rsidRPr="00184C93">
              <w:t>4.3</w:t>
            </w:r>
          </w:p>
        </w:tc>
        <w:tc>
          <w:tcPr>
            <w:tcW w:w="853" w:type="dxa"/>
            <w:noWrap/>
            <w:hideMark/>
          </w:tcPr>
          <w:p w14:paraId="3239D7C3" w14:textId="77777777" w:rsidR="004354BE" w:rsidRPr="00184C93" w:rsidRDefault="004354BE" w:rsidP="004354BE">
            <w:pPr>
              <w:pStyle w:val="Body"/>
            </w:pPr>
            <w:r w:rsidRPr="00184C93">
              <w:t>4.2</w:t>
            </w:r>
          </w:p>
        </w:tc>
      </w:tr>
      <w:tr w:rsidR="004354BE" w:rsidRPr="00184C93" w14:paraId="25F7C958" w14:textId="77777777" w:rsidTr="004354BE">
        <w:trPr>
          <w:trHeight w:val="300"/>
        </w:trPr>
        <w:tc>
          <w:tcPr>
            <w:tcW w:w="1801" w:type="dxa"/>
            <w:noWrap/>
            <w:hideMark/>
          </w:tcPr>
          <w:p w14:paraId="416EBE58" w14:textId="77777777" w:rsidR="004354BE" w:rsidRPr="00184C93" w:rsidRDefault="004354BE" w:rsidP="004354BE">
            <w:pPr>
              <w:pStyle w:val="Body"/>
            </w:pPr>
            <w:r w:rsidRPr="00184C93">
              <w:t>Portugal</w:t>
            </w:r>
          </w:p>
        </w:tc>
        <w:tc>
          <w:tcPr>
            <w:tcW w:w="661" w:type="dxa"/>
            <w:noWrap/>
            <w:hideMark/>
          </w:tcPr>
          <w:p w14:paraId="50890E02" w14:textId="77777777" w:rsidR="004354BE" w:rsidRPr="00184C93" w:rsidRDefault="004354BE" w:rsidP="004354BE">
            <w:pPr>
              <w:pStyle w:val="Body"/>
            </w:pPr>
            <w:r w:rsidRPr="00184C93">
              <w:t>1.1</w:t>
            </w:r>
          </w:p>
        </w:tc>
        <w:tc>
          <w:tcPr>
            <w:tcW w:w="661" w:type="dxa"/>
            <w:noWrap/>
            <w:hideMark/>
          </w:tcPr>
          <w:p w14:paraId="34EB4CFA" w14:textId="77777777" w:rsidR="004354BE" w:rsidRPr="00184C93" w:rsidRDefault="004354BE" w:rsidP="004354BE">
            <w:pPr>
              <w:pStyle w:val="Body"/>
            </w:pPr>
            <w:r w:rsidRPr="00184C93">
              <w:t>1.4</w:t>
            </w:r>
          </w:p>
        </w:tc>
        <w:tc>
          <w:tcPr>
            <w:tcW w:w="661" w:type="dxa"/>
            <w:noWrap/>
            <w:hideMark/>
          </w:tcPr>
          <w:p w14:paraId="41F4DC07" w14:textId="77777777" w:rsidR="004354BE" w:rsidRPr="00184C93" w:rsidRDefault="004354BE" w:rsidP="004354BE">
            <w:pPr>
              <w:pStyle w:val="Body"/>
            </w:pPr>
            <w:r w:rsidRPr="00184C93">
              <w:t>3.6</w:t>
            </w:r>
          </w:p>
        </w:tc>
        <w:tc>
          <w:tcPr>
            <w:tcW w:w="661" w:type="dxa"/>
            <w:noWrap/>
            <w:hideMark/>
          </w:tcPr>
          <w:p w14:paraId="69A9BDC6" w14:textId="77777777" w:rsidR="004354BE" w:rsidRPr="00184C93" w:rsidRDefault="004354BE" w:rsidP="004354BE">
            <w:pPr>
              <w:pStyle w:val="Body"/>
            </w:pPr>
            <w:r w:rsidRPr="00184C93">
              <w:t>7.8</w:t>
            </w:r>
          </w:p>
        </w:tc>
        <w:tc>
          <w:tcPr>
            <w:tcW w:w="661" w:type="dxa"/>
            <w:noWrap/>
            <w:hideMark/>
          </w:tcPr>
          <w:p w14:paraId="2FE24ED7" w14:textId="77777777" w:rsidR="004354BE" w:rsidRPr="00184C93" w:rsidRDefault="004354BE" w:rsidP="004354BE">
            <w:pPr>
              <w:pStyle w:val="Body"/>
            </w:pPr>
            <w:r w:rsidRPr="00184C93">
              <w:t>6.1</w:t>
            </w:r>
          </w:p>
        </w:tc>
        <w:tc>
          <w:tcPr>
            <w:tcW w:w="661" w:type="dxa"/>
            <w:noWrap/>
            <w:hideMark/>
          </w:tcPr>
          <w:p w14:paraId="17F755E4" w14:textId="77777777" w:rsidR="004354BE" w:rsidRPr="00184C93" w:rsidRDefault="004354BE" w:rsidP="004354BE">
            <w:pPr>
              <w:pStyle w:val="Body"/>
            </w:pPr>
            <w:r w:rsidRPr="00184C93">
              <w:t>4.6</w:t>
            </w:r>
          </w:p>
        </w:tc>
        <w:tc>
          <w:tcPr>
            <w:tcW w:w="683" w:type="dxa"/>
            <w:noWrap/>
            <w:hideMark/>
          </w:tcPr>
          <w:p w14:paraId="06A6BFC2" w14:textId="77777777" w:rsidR="004354BE" w:rsidRPr="00184C93" w:rsidRDefault="004354BE" w:rsidP="004354BE">
            <w:pPr>
              <w:pStyle w:val="Body"/>
            </w:pPr>
            <w:r w:rsidRPr="00184C93">
              <w:t>4.3</w:t>
            </w:r>
          </w:p>
        </w:tc>
        <w:tc>
          <w:tcPr>
            <w:tcW w:w="661" w:type="dxa"/>
            <w:noWrap/>
            <w:hideMark/>
          </w:tcPr>
          <w:p w14:paraId="4617243B" w14:textId="77777777" w:rsidR="004354BE" w:rsidRPr="00184C93" w:rsidRDefault="004354BE" w:rsidP="004354BE">
            <w:pPr>
              <w:pStyle w:val="Body"/>
            </w:pPr>
            <w:r w:rsidRPr="00184C93">
              <w:t>4.2</w:t>
            </w:r>
          </w:p>
        </w:tc>
        <w:tc>
          <w:tcPr>
            <w:tcW w:w="853" w:type="dxa"/>
            <w:noWrap/>
            <w:hideMark/>
          </w:tcPr>
          <w:p w14:paraId="00D5D277" w14:textId="77777777" w:rsidR="004354BE" w:rsidRPr="00184C93" w:rsidRDefault="004354BE" w:rsidP="004354BE">
            <w:pPr>
              <w:pStyle w:val="Body"/>
            </w:pPr>
            <w:r w:rsidRPr="00184C93">
              <w:t>4.1</w:t>
            </w:r>
          </w:p>
        </w:tc>
      </w:tr>
    </w:tbl>
    <w:p w14:paraId="2DF3EB98" w14:textId="77777777" w:rsidR="004354BE" w:rsidRPr="00F32E15" w:rsidRDefault="004354BE" w:rsidP="00F41B98">
      <w:pPr>
        <w:pStyle w:val="Body"/>
        <w:spacing w:before="0" w:beforeAutospacing="0" w:after="0" w:afterAutospacing="0"/>
        <w:rPr>
          <w:i/>
          <w:lang w:val="en-GB"/>
        </w:rPr>
      </w:pPr>
      <w:r w:rsidRPr="00F32E15">
        <w:rPr>
          <w:i/>
          <w:u w:val="single"/>
          <w:lang w:val="en-GB"/>
        </w:rPr>
        <w:t>Source:</w:t>
      </w:r>
      <w:r w:rsidRPr="00F32E15">
        <w:rPr>
          <w:i/>
          <w:lang w:val="en-GB"/>
        </w:rPr>
        <w:t xml:space="preserve"> Participation rate in education and training by sex and educational attainment (%), Eurostat code and trng_lfse_03, last updated 25 April 2017. </w:t>
      </w:r>
    </w:p>
    <w:p w14:paraId="01A1F529" w14:textId="77777777" w:rsidR="004354BE" w:rsidRPr="00F32E15" w:rsidRDefault="004354BE" w:rsidP="00F41B98">
      <w:pPr>
        <w:pStyle w:val="Body"/>
        <w:spacing w:before="0" w:beforeAutospacing="0" w:after="0" w:afterAutospacing="0"/>
        <w:rPr>
          <w:i/>
          <w:lang w:val="en-GB"/>
        </w:rPr>
      </w:pPr>
      <w:r w:rsidRPr="00F32E15">
        <w:rPr>
          <w:i/>
          <w:u w:val="single"/>
          <w:lang w:val="en-GB"/>
        </w:rPr>
        <w:t>Explanatory note:</w:t>
      </w:r>
      <w:r w:rsidRPr="00F32E15">
        <w:rPr>
          <w:i/>
          <w:lang w:val="en-GB"/>
        </w:rPr>
        <w:t xml:space="preserve"> This table compares the participation rate in lifelong learning of adults aged 25-64 with low qualification levels (ISCED levels 0-2) to EU data and over the period 2000-2016. </w:t>
      </w:r>
    </w:p>
    <w:p w14:paraId="61FFA416" w14:textId="0331C8D3" w:rsidR="004354BE" w:rsidRPr="00F32E15" w:rsidRDefault="004354BE" w:rsidP="004354BE">
      <w:pPr>
        <w:pStyle w:val="Body"/>
        <w:rPr>
          <w:i/>
          <w:lang w:val="en-GB"/>
        </w:rPr>
      </w:pPr>
      <w:r w:rsidRPr="00F32E15">
        <w:rPr>
          <w:i/>
          <w:lang w:val="en-GB"/>
        </w:rPr>
        <w:t>-Comparison to EU data</w:t>
      </w:r>
    </w:p>
    <w:p w14:paraId="2746C60C" w14:textId="041DC0CE" w:rsidR="005368A5" w:rsidRPr="00F32E15" w:rsidRDefault="004354BE" w:rsidP="004354BE">
      <w:pPr>
        <w:pStyle w:val="Body"/>
        <w:rPr>
          <w:lang w:val="en-GB"/>
        </w:rPr>
      </w:pPr>
      <w:r w:rsidRPr="00F32E15">
        <w:rPr>
          <w:lang w:val="en-GB"/>
        </w:rPr>
        <w:t xml:space="preserve">The Portuguese participation rate in education and training of low skilled adults in 2016 was of 4.1% a similar rate to the EU-28 average (4.2%). This rate has evolved from 1.1% in 2000 to 7.8% in 2011. From 2012 (6.1%) to 2016 (4.1%) this rate has decreased. This trend can also be observed in EU-28 average rates, although the changes are not as strong (from 3.7% in 2005 to 4.5% in 2013 and 2014; and then to 4.2% in 2016). </w:t>
      </w:r>
    </w:p>
    <w:p w14:paraId="61287CF8" w14:textId="0AAAFBB8" w:rsidR="004354BE" w:rsidRPr="00F32E15" w:rsidRDefault="004354BE" w:rsidP="004354BE">
      <w:pPr>
        <w:pStyle w:val="Body"/>
        <w:rPr>
          <w:i/>
          <w:lang w:val="en-GB"/>
        </w:rPr>
      </w:pPr>
      <w:r w:rsidRPr="00F32E15">
        <w:rPr>
          <w:i/>
          <w:lang w:val="en-GB"/>
        </w:rPr>
        <w:lastRenderedPageBreak/>
        <w:t>-Evolution over time</w:t>
      </w:r>
    </w:p>
    <w:p w14:paraId="694F224A" w14:textId="77777777" w:rsidR="004354BE" w:rsidRPr="00F32E15" w:rsidRDefault="004354BE" w:rsidP="004354BE">
      <w:pPr>
        <w:pStyle w:val="Body"/>
        <w:rPr>
          <w:lang w:val="en-GB"/>
        </w:rPr>
      </w:pPr>
      <w:r w:rsidRPr="00F32E15">
        <w:rPr>
          <w:lang w:val="en-GB"/>
        </w:rPr>
        <w:t xml:space="preserve">The increase from 2000 to 2011 is to be related to the development of adult education and training policy, in specific to the new opportunities programme (2005-2011). The decrease that can be seen further on (2013 and after) was due to the suspension of the adult education policy in 2011, and to the end of the national strategic reference framework supported by European Union funding programmes (2007- 2013). </w:t>
      </w:r>
    </w:p>
    <w:p w14:paraId="1BE355D0" w14:textId="77777777" w:rsidR="004354BE" w:rsidRPr="00F32E15" w:rsidRDefault="004354BE" w:rsidP="004354BE">
      <w:pPr>
        <w:pStyle w:val="Body"/>
        <w:rPr>
          <w:lang w:val="en-GB"/>
        </w:rPr>
      </w:pPr>
      <w:r w:rsidRPr="00F32E15">
        <w:rPr>
          <w:lang w:val="en-GB"/>
        </w:rPr>
        <w:t>Since 2012, low qualified adults (in specific those unemployed) have been preferred for attending the few existing forms of provision such as modular training and adult education and training courses.</w:t>
      </w:r>
    </w:p>
    <w:p w14:paraId="59B309BC" w14:textId="01708C21" w:rsidR="004354BE" w:rsidRPr="00F32E15" w:rsidRDefault="004354BE" w:rsidP="004354BE">
      <w:pPr>
        <w:pStyle w:val="Body"/>
        <w:rPr>
          <w:lang w:val="en-GB"/>
        </w:rPr>
      </w:pPr>
      <w:r w:rsidRPr="00F32E15">
        <w:rPr>
          <w:lang w:val="en-GB"/>
        </w:rPr>
        <w:t>Portuguese participation rates are in general low (when compared to other Central European or Nordic countries) due to a lack of adult education policies, especially liberal adult education policies) after the II World war. Additionally, policies developed after 1974, when the Democratic Revolution occurred, have had a discontinuous character</w:t>
      </w:r>
      <w:r w:rsidRPr="0030638E">
        <w:rPr>
          <w:rStyle w:val="FootnoteReference"/>
        </w:rPr>
        <w:footnoteReference w:id="25"/>
      </w:r>
      <w:r w:rsidRPr="00F32E15">
        <w:rPr>
          <w:lang w:val="en-GB"/>
        </w:rPr>
        <w:t xml:space="preserve"> and these were mainly centred on and secondary education (second-chance education directed at adults that did not achieve compulsory education).</w:t>
      </w:r>
    </w:p>
    <w:p w14:paraId="55BC7F24" w14:textId="77777777" w:rsidR="004354BE" w:rsidRPr="00F32E15" w:rsidRDefault="004354BE">
      <w:pPr>
        <w:spacing w:after="0"/>
        <w:jc w:val="left"/>
        <w:rPr>
          <w:rFonts w:ascii="Verdana" w:hAnsi="Verdana"/>
          <w:sz w:val="20"/>
          <w:lang w:val="en-GB"/>
        </w:rPr>
      </w:pPr>
      <w:r w:rsidRPr="00F32E15">
        <w:rPr>
          <w:lang w:val="en-GB"/>
        </w:rPr>
        <w:br w:type="page"/>
      </w:r>
    </w:p>
    <w:p w14:paraId="3F80EBD3" w14:textId="77777777" w:rsidR="004354BE" w:rsidRPr="00F32E15" w:rsidRDefault="004354BE" w:rsidP="00324DC2">
      <w:pPr>
        <w:pStyle w:val="Heading1"/>
        <w:keepNext w:val="0"/>
        <w:pageBreakBefore/>
        <w:numPr>
          <w:ilvl w:val="0"/>
          <w:numId w:val="24"/>
        </w:numPr>
        <w:tabs>
          <w:tab w:val="clear" w:pos="1134"/>
          <w:tab w:val="left" w:pos="851"/>
        </w:tabs>
        <w:spacing w:before="0" w:after="360" w:line="288" w:lineRule="auto"/>
        <w:ind w:left="851" w:hanging="851"/>
        <w:rPr>
          <w:lang w:val="en-GB"/>
        </w:rPr>
      </w:pPr>
      <w:r w:rsidRPr="00F32E15">
        <w:rPr>
          <w:lang w:val="en-GB"/>
        </w:rPr>
        <w:lastRenderedPageBreak/>
        <w:t>Brief Overview of adult learning system</w:t>
      </w:r>
    </w:p>
    <w:p w14:paraId="4FE3DF49" w14:textId="77777777" w:rsidR="004354BE" w:rsidRPr="00F32E15" w:rsidRDefault="004354BE" w:rsidP="00F41B98">
      <w:pPr>
        <w:pStyle w:val="Heading2"/>
        <w:rPr>
          <w:lang w:val="en-GB"/>
        </w:rPr>
      </w:pPr>
      <w:r w:rsidRPr="00F32E15">
        <w:rPr>
          <w:lang w:val="en-GB"/>
        </w:rPr>
        <w:t xml:space="preserve"> </w:t>
      </w:r>
      <w:bookmarkStart w:id="14" w:name="_Toc491862482"/>
      <w:r w:rsidRPr="00F32E15">
        <w:rPr>
          <w:lang w:val="en-GB"/>
        </w:rPr>
        <w:t>Main features and a concise summary of historic development</w:t>
      </w:r>
      <w:bookmarkEnd w:id="14"/>
    </w:p>
    <w:p w14:paraId="73F9C0FE" w14:textId="77777777" w:rsidR="004354BE" w:rsidRPr="00F32E15" w:rsidRDefault="004354BE" w:rsidP="004354BE">
      <w:pPr>
        <w:pStyle w:val="Body"/>
        <w:rPr>
          <w:lang w:val="en-GB"/>
        </w:rPr>
      </w:pPr>
      <w:r w:rsidRPr="00F32E15">
        <w:rPr>
          <w:lang w:val="en-GB"/>
        </w:rPr>
        <w:t>Up until the late 1990’s, formal second-chance education was emphasised in adult education policy. It was supported by the idea that adults needed to accomplish compulsory education (of 9 years). It was a basic step for becoming democratic and participative citizens in a free society that fosters equality. Initiatives were developed in education, leading to the decrease in school abandonment and dropout, and the general increase of education levels (in formal education). However, these were not enough to overcome the significant educational differences in Portugal when compared to other European countries</w:t>
      </w:r>
      <w:r w:rsidRPr="001C65DF">
        <w:rPr>
          <w:rStyle w:val="FootnoteReference"/>
        </w:rPr>
        <w:footnoteReference w:id="26"/>
      </w:r>
      <w:r w:rsidRPr="00F32E15">
        <w:rPr>
          <w:lang w:val="en-GB"/>
        </w:rPr>
        <w:t>. Since the late 1990s adult education policies became aligned with the European Union lifelong learning guidelines.</w:t>
      </w:r>
    </w:p>
    <w:p w14:paraId="4F6DC96F" w14:textId="77777777" w:rsidR="004354BE" w:rsidRPr="00F32E15" w:rsidRDefault="004354BE" w:rsidP="004354BE">
      <w:pPr>
        <w:pStyle w:val="Body"/>
        <w:rPr>
          <w:lang w:val="en-GB"/>
        </w:rPr>
      </w:pPr>
      <w:r w:rsidRPr="00F32E15">
        <w:rPr>
          <w:lang w:val="en-GB"/>
        </w:rPr>
        <w:t>The European Union structural funding programmes, such as the national strategic reference framework</w:t>
      </w:r>
      <w:r w:rsidRPr="001C65DF">
        <w:rPr>
          <w:rStyle w:val="FootnoteReference"/>
        </w:rPr>
        <w:footnoteReference w:id="27"/>
      </w:r>
      <w:r w:rsidRPr="00F32E15">
        <w:rPr>
          <w:lang w:val="en-GB"/>
        </w:rPr>
        <w:t xml:space="preserve"> (2007-2013), had their objectives defined before the crisis of 2008 in the context of an economic growth cycle. The increasing link of investment trends and international trade had a significant influence on the </w:t>
      </w:r>
      <w:proofErr w:type="gramStart"/>
      <w:r w:rsidRPr="00F32E15">
        <w:rPr>
          <w:lang w:val="en-GB"/>
        </w:rPr>
        <w:t>New</w:t>
      </w:r>
      <w:proofErr w:type="gramEnd"/>
      <w:r w:rsidRPr="00F32E15">
        <w:rPr>
          <w:lang w:val="en-GB"/>
        </w:rPr>
        <w:t xml:space="preserve"> opportunities programme developed from 2005 to 2011. After 2012 (up until mid-2016), the adult education policy was suspended by the elected Government. The new opportunities programme was abandoned, the existing adult education centres were shut down and adult educators fired. Severe financial cuts were observed, and there was a decrease in adult learners enrolled and certified by existing forms of provision such as basic and secondary education</w:t>
      </w:r>
    </w:p>
    <w:p w14:paraId="41D57639" w14:textId="77777777" w:rsidR="004354BE" w:rsidRPr="00F32E15" w:rsidRDefault="004354BE" w:rsidP="004354BE">
      <w:pPr>
        <w:pStyle w:val="Body"/>
        <w:rPr>
          <w:lang w:val="en-GB"/>
        </w:rPr>
      </w:pPr>
      <w:r w:rsidRPr="00F32E15">
        <w:rPr>
          <w:lang w:val="en-GB"/>
        </w:rPr>
        <w:t>Especially after 2011, Portugal experienced a deep economic and social crisis as a result of the global crisis. It has also been affected by the European Union, the European Central Bank and the International Monetary Fund structural adjustment policies. Additionally, the European Union structural programmes were implemented in a context of economic and social constraints of unemployment, difficult living conditions, low expectations of the population in what refers to the future, and instability in social and political consensus and in the social pact</w:t>
      </w:r>
      <w:r w:rsidRPr="001C65DF">
        <w:rPr>
          <w:rStyle w:val="FootnoteReference"/>
        </w:rPr>
        <w:footnoteReference w:id="28"/>
      </w:r>
      <w:r w:rsidRPr="00F32E15">
        <w:rPr>
          <w:lang w:val="en-GB"/>
        </w:rPr>
        <w:t xml:space="preserve">. The national strategic reference framework under development (2014-2020) was launched in a period of uncertainty, risks and threats. </w:t>
      </w:r>
    </w:p>
    <w:p w14:paraId="35254CD0" w14:textId="77777777" w:rsidR="004354BE" w:rsidRPr="00F32E15" w:rsidRDefault="004354BE" w:rsidP="004354BE">
      <w:pPr>
        <w:pStyle w:val="Body"/>
        <w:rPr>
          <w:lang w:val="en-GB"/>
        </w:rPr>
      </w:pPr>
      <w:r w:rsidRPr="00F32E15">
        <w:rPr>
          <w:lang w:val="en-GB"/>
        </w:rPr>
        <w:t>Since 2014, the economy has been recovering slowly based on sectors such as tourism and industry (transports equipment, electric, electronic and computing equipment, pharmacy and chemical products and products from extractive industry)</w:t>
      </w:r>
      <w:r w:rsidRPr="001C65DF">
        <w:rPr>
          <w:rStyle w:val="FootnoteReference"/>
        </w:rPr>
        <w:footnoteReference w:id="29"/>
      </w:r>
      <w:r w:rsidRPr="00F32E15">
        <w:rPr>
          <w:lang w:val="en-GB"/>
        </w:rPr>
        <w:t>. A new adult education programme was announced in August 2016 called the Qualify programme</w:t>
      </w:r>
      <w:r w:rsidRPr="001C65DF">
        <w:rPr>
          <w:rStyle w:val="FootnoteReference"/>
        </w:rPr>
        <w:footnoteReference w:id="30"/>
      </w:r>
      <w:r w:rsidRPr="00F32E15">
        <w:rPr>
          <w:lang w:val="en-GB"/>
        </w:rPr>
        <w:t xml:space="preserve">. A </w:t>
      </w:r>
      <w:r w:rsidRPr="00F32E15">
        <w:rPr>
          <w:lang w:val="en-GB"/>
        </w:rPr>
        <w:lastRenderedPageBreak/>
        <w:t xml:space="preserve">new trend in adult education policies seems to be emerging although its impact is not still clear, since it was announced so recently. </w:t>
      </w:r>
    </w:p>
    <w:p w14:paraId="730094D0" w14:textId="77777777" w:rsidR="004354BE" w:rsidRPr="00F32E15" w:rsidRDefault="004354BE" w:rsidP="004354BE">
      <w:pPr>
        <w:pStyle w:val="Body"/>
        <w:rPr>
          <w:lang w:val="en-GB"/>
        </w:rPr>
      </w:pPr>
      <w:r w:rsidRPr="00F32E15">
        <w:rPr>
          <w:lang w:val="en-GB"/>
        </w:rPr>
        <w:t>Portugal’s education and training system beyond a person’s school years primarily comprises: a publicly funded education and training, including forms of basic and secondary education and training such as recognition of prior learning (for those aged 23 or older); adult education and training courses providing a school education diploma and/or a professional qualification to those achieving education and training paths; modular training (for those aged 18 or older); and formal second-chance education (for those aged 16 or older)</w:t>
      </w:r>
      <w:r w:rsidRPr="001C65DF">
        <w:rPr>
          <w:rStyle w:val="FootnoteReference"/>
        </w:rPr>
        <w:footnoteReference w:id="31"/>
      </w:r>
      <w:r w:rsidRPr="00F32E15">
        <w:rPr>
          <w:lang w:val="en-GB"/>
        </w:rPr>
        <w:t>. The adult education and training system incorporates an educational agenda (basic and secondary education) and a vocational education and training agenda. Apart from these but not being a clear part of the existing adult education and training policy, higher education sectors provide specific entrance paths for adults (such as the Older than 23 programme</w:t>
      </w:r>
      <w:r w:rsidRPr="001C65DF">
        <w:rPr>
          <w:rStyle w:val="FootnoteReference"/>
        </w:rPr>
        <w:footnoteReference w:id="32"/>
      </w:r>
      <w:r w:rsidRPr="00F32E15">
        <w:rPr>
          <w:lang w:val="en-GB"/>
        </w:rPr>
        <w:t>) and the recognition of non-formal and informal learning</w:t>
      </w:r>
      <w:r w:rsidRPr="001C65DF">
        <w:rPr>
          <w:rStyle w:val="FootnoteReference"/>
        </w:rPr>
        <w:footnoteReference w:id="33"/>
      </w:r>
      <w:r w:rsidRPr="00F32E15">
        <w:rPr>
          <w:lang w:val="en-GB"/>
        </w:rPr>
        <w:t>. Higher education institutions also offer short cycle tertiary education such as professional technical courses.</w:t>
      </w:r>
      <w:r w:rsidRPr="001C65DF">
        <w:rPr>
          <w:rStyle w:val="FootnoteReference"/>
        </w:rPr>
        <w:footnoteReference w:id="34"/>
      </w:r>
    </w:p>
    <w:p w14:paraId="7859D3D0" w14:textId="77777777" w:rsidR="004354BE" w:rsidRPr="00F32E15" w:rsidRDefault="004354BE" w:rsidP="004354BE">
      <w:pPr>
        <w:pStyle w:val="Body"/>
        <w:rPr>
          <w:lang w:val="en-GB"/>
        </w:rPr>
      </w:pPr>
      <w:r w:rsidRPr="00F32E15">
        <w:rPr>
          <w:lang w:val="en-GB"/>
        </w:rPr>
        <w:t>Therefore, public provision can be categorised as follows:</w:t>
      </w:r>
    </w:p>
    <w:p w14:paraId="291FD444" w14:textId="77777777" w:rsidR="004354BE" w:rsidRPr="00F32E15" w:rsidRDefault="004354BE" w:rsidP="004354BE">
      <w:pPr>
        <w:pStyle w:val="Body"/>
        <w:numPr>
          <w:ilvl w:val="0"/>
          <w:numId w:val="39"/>
        </w:numPr>
        <w:rPr>
          <w:lang w:val="en-GB"/>
        </w:rPr>
      </w:pPr>
      <w:r w:rsidRPr="00F32E15">
        <w:rPr>
          <w:lang w:val="en-GB"/>
        </w:rPr>
        <w:t>Adult basic and secondary education (in forms of provision such as recognition of prior learning and adult education and training courses) allowing a school education diploma (ISCED 1, 2 and 3);</w:t>
      </w:r>
    </w:p>
    <w:p w14:paraId="451EF85D" w14:textId="77777777" w:rsidR="004354BE" w:rsidRPr="00F32E15" w:rsidRDefault="004354BE" w:rsidP="004354BE">
      <w:pPr>
        <w:pStyle w:val="Body"/>
        <w:numPr>
          <w:ilvl w:val="0"/>
          <w:numId w:val="39"/>
        </w:numPr>
        <w:rPr>
          <w:lang w:val="en-GB"/>
        </w:rPr>
      </w:pPr>
      <w:r w:rsidRPr="00F32E15">
        <w:rPr>
          <w:lang w:val="en-GB"/>
        </w:rPr>
        <w:t>Higher education institutions allow specific entrance paths to adults such as the Older than programme. Additionally, validation of non-formal and informal learning can also be obtained by learners when enrolled in higher education degrees</w:t>
      </w:r>
      <w:r w:rsidRPr="001C65DF">
        <w:rPr>
          <w:rStyle w:val="FootnoteReference"/>
        </w:rPr>
        <w:footnoteReference w:id="35"/>
      </w:r>
      <w:r w:rsidRPr="00F32E15">
        <w:rPr>
          <w:lang w:val="en-GB"/>
        </w:rPr>
        <w:t>. When enrolled in higher education institutions, adult students follow the same academic paths as other students (ISCED 5 and 6). Professional technical courses</w:t>
      </w:r>
      <w:r w:rsidRPr="001C65DF">
        <w:rPr>
          <w:rStyle w:val="FootnoteReference"/>
        </w:rPr>
        <w:footnoteReference w:id="36"/>
      </w:r>
      <w:r w:rsidRPr="00F32E15">
        <w:rPr>
          <w:lang w:val="en-GB"/>
        </w:rPr>
        <w:t>, a short cycle tertiary education allowing a professional technician diploma (level 5 of the national qualification framework), are also available. In formal education (Table 2.1.), most adult learners can be found in upper secondary education both aged 20-24 and older than 25 (58,792 adult learners), and in lower secondary education (16,178 adult learners). These learners are joining adult basic and secondary education forms of provision such as recognition of prior learning and adult education and training courses. The number of adult learners in primary education is lower than the previous ones (8,442 adult learners). In higher education, most learners older than 25 are enrolled in bachelor’s (50,159 adult learners); however, from these, only a smaller number are learners who are included in Older than 23 programme</w:t>
      </w:r>
      <w:r w:rsidRPr="001C65DF">
        <w:rPr>
          <w:rStyle w:val="FootnoteReference"/>
        </w:rPr>
        <w:footnoteReference w:id="37"/>
      </w:r>
      <w:r w:rsidRPr="00F32E15">
        <w:rPr>
          <w:lang w:val="en-GB"/>
        </w:rPr>
        <w:t xml:space="preserve">. In </w:t>
      </w:r>
      <w:proofErr w:type="gramStart"/>
      <w:r w:rsidRPr="00F32E15">
        <w:rPr>
          <w:lang w:val="en-GB"/>
        </w:rPr>
        <w:t>master’s</w:t>
      </w:r>
      <w:proofErr w:type="gramEnd"/>
      <w:r w:rsidRPr="00F32E15">
        <w:rPr>
          <w:lang w:val="en-GB"/>
        </w:rPr>
        <w:t xml:space="preserve"> there are 41,139 adult learners and in doctoral studies </w:t>
      </w:r>
      <w:r w:rsidRPr="00F32E15">
        <w:rPr>
          <w:lang w:val="en-GB"/>
        </w:rPr>
        <w:lastRenderedPageBreak/>
        <w:t>18,697 adult learners. The numbers of adult learners in post-secondary non-tertiary education and short-cycle tertiary education are the lowest.</w:t>
      </w:r>
    </w:p>
    <w:p w14:paraId="502AE273" w14:textId="77777777" w:rsidR="004354BE" w:rsidRPr="00F32E15" w:rsidRDefault="004354BE" w:rsidP="004354BE">
      <w:pPr>
        <w:pStyle w:val="Body"/>
        <w:numPr>
          <w:ilvl w:val="0"/>
          <w:numId w:val="39"/>
        </w:numPr>
        <w:rPr>
          <w:lang w:val="en-GB"/>
        </w:rPr>
      </w:pPr>
      <w:r w:rsidRPr="00F32E15">
        <w:rPr>
          <w:lang w:val="en-GB"/>
        </w:rPr>
        <w:t>Vocational education and training/professional qualification according to the national qualification framework (in forms of provision such as recognition of prior learning and adult education and training courses allowing a professional qualification diploma; additionally, people can join modular training, short term vocational education and training courses);</w:t>
      </w:r>
    </w:p>
    <w:p w14:paraId="183E2761" w14:textId="274A9CE3" w:rsidR="004354BE" w:rsidRPr="00F32E15" w:rsidRDefault="004354BE" w:rsidP="004354BE">
      <w:pPr>
        <w:pStyle w:val="Body"/>
        <w:numPr>
          <w:ilvl w:val="0"/>
          <w:numId w:val="39"/>
        </w:numPr>
        <w:rPr>
          <w:lang w:val="en-GB"/>
        </w:rPr>
      </w:pPr>
      <w:r w:rsidRPr="00F32E15">
        <w:rPr>
          <w:lang w:val="en-GB"/>
        </w:rPr>
        <w:t>Apart from these forms of provision, people can join professional and continuing education courses funded by State-funded programmes in the workforce or re-entering the workforce. Literacy courses (adult basic skills courses on literacy, numeracy and ICT)</w:t>
      </w:r>
      <w:r w:rsidRPr="001C65DF">
        <w:rPr>
          <w:rStyle w:val="FootnoteReference"/>
        </w:rPr>
        <w:footnoteReference w:id="38"/>
      </w:r>
      <w:r w:rsidRPr="00F32E15">
        <w:rPr>
          <w:lang w:val="en-GB"/>
        </w:rPr>
        <w:t xml:space="preserve"> have also been provided by several institutions such as public institutions. Community and liberal (non-formal) adult education undertaken by adults in a large variety of settings both non-formal and informal that can be funded by State funding programmes, although nor directly from public policy.</w:t>
      </w:r>
    </w:p>
    <w:p w14:paraId="1979649C" w14:textId="2713BE28" w:rsidR="004354BE" w:rsidRPr="00F32E15" w:rsidRDefault="004354BE" w:rsidP="00324DC2">
      <w:pPr>
        <w:pStyle w:val="BodyText"/>
        <w:spacing w:after="0"/>
        <w:rPr>
          <w:b/>
          <w:lang w:val="en-GB"/>
        </w:rPr>
      </w:pPr>
      <w:r w:rsidRPr="00F32E15">
        <w:rPr>
          <w:b/>
          <w:lang w:val="en-GB"/>
        </w:rPr>
        <w:t xml:space="preserve">Table </w:t>
      </w:r>
      <w:r w:rsidRPr="004354BE">
        <w:rPr>
          <w:b/>
        </w:rPr>
        <w:fldChar w:fldCharType="begin"/>
      </w:r>
      <w:r w:rsidRPr="00F32E15">
        <w:rPr>
          <w:b/>
          <w:lang w:val="en-GB"/>
        </w:rPr>
        <w:instrText xml:space="preserve"> STYLEREF 1 \s </w:instrText>
      </w:r>
      <w:r w:rsidRPr="004354BE">
        <w:rPr>
          <w:b/>
        </w:rPr>
        <w:fldChar w:fldCharType="separate"/>
      </w:r>
      <w:r w:rsidRPr="00F32E15">
        <w:rPr>
          <w:b/>
          <w:lang w:val="en-GB"/>
        </w:rPr>
        <w:t>2</w:t>
      </w:r>
      <w:r w:rsidRPr="004354BE">
        <w:rPr>
          <w:b/>
        </w:rPr>
        <w:fldChar w:fldCharType="end"/>
      </w:r>
      <w:r w:rsidRPr="00F32E15">
        <w:rPr>
          <w:b/>
          <w:lang w:val="en-GB"/>
        </w:rPr>
        <w:t>.</w:t>
      </w:r>
      <w:r w:rsidRPr="004354BE">
        <w:rPr>
          <w:b/>
        </w:rPr>
        <w:fldChar w:fldCharType="begin"/>
      </w:r>
      <w:r w:rsidRPr="00F32E15">
        <w:rPr>
          <w:b/>
          <w:lang w:val="en-GB"/>
        </w:rPr>
        <w:instrText xml:space="preserve"> SEQ Table \* ARABIC \s 1 </w:instrText>
      </w:r>
      <w:r w:rsidRPr="004354BE">
        <w:rPr>
          <w:b/>
        </w:rPr>
        <w:fldChar w:fldCharType="separate"/>
      </w:r>
      <w:r w:rsidRPr="00F32E15">
        <w:rPr>
          <w:b/>
          <w:lang w:val="en-GB"/>
        </w:rPr>
        <w:t>1</w:t>
      </w:r>
      <w:r w:rsidRPr="004354BE">
        <w:rPr>
          <w:b/>
        </w:rPr>
        <w:fldChar w:fldCharType="end"/>
      </w:r>
      <w:r w:rsidRPr="00F32E15">
        <w:rPr>
          <w:b/>
          <w:lang w:val="en-GB"/>
        </w:rPr>
        <w:t xml:space="preserve">  Number of participants in formal education and training by level of education and age  </w:t>
      </w:r>
    </w:p>
    <w:tbl>
      <w:tblPr>
        <w:tblStyle w:val="ecTable"/>
        <w:tblW w:w="5000" w:type="pct"/>
        <w:tblLayout w:type="fixed"/>
        <w:tblLook w:val="0420" w:firstRow="1" w:lastRow="0" w:firstColumn="0" w:lastColumn="0" w:noHBand="0" w:noVBand="1"/>
      </w:tblPr>
      <w:tblGrid>
        <w:gridCol w:w="3805"/>
        <w:gridCol w:w="1730"/>
        <w:gridCol w:w="1731"/>
        <w:gridCol w:w="1730"/>
      </w:tblGrid>
      <w:tr w:rsidR="004354BE" w:rsidRPr="004354BE" w14:paraId="1F358FC4" w14:textId="77777777" w:rsidTr="004354BE">
        <w:trPr>
          <w:cnfStyle w:val="100000000000" w:firstRow="1" w:lastRow="0" w:firstColumn="0" w:lastColumn="0" w:oddVBand="0" w:evenVBand="0" w:oddHBand="0" w:evenHBand="0" w:firstRowFirstColumn="0" w:firstRowLastColumn="0" w:lastRowFirstColumn="0" w:lastRowLastColumn="0"/>
          <w:trHeight w:val="411"/>
        </w:trPr>
        <w:tc>
          <w:tcPr>
            <w:tcW w:w="3950" w:type="dxa"/>
          </w:tcPr>
          <w:p w14:paraId="61156DD7" w14:textId="77777777" w:rsidR="004354BE" w:rsidRPr="004354BE" w:rsidRDefault="004354BE" w:rsidP="004354BE">
            <w:pPr>
              <w:pStyle w:val="Tabletext"/>
              <w:rPr>
                <w:rFonts w:ascii="Verdana" w:hAnsi="Verdana"/>
              </w:rPr>
            </w:pPr>
          </w:p>
        </w:tc>
        <w:tc>
          <w:tcPr>
            <w:tcW w:w="1791" w:type="dxa"/>
          </w:tcPr>
          <w:p w14:paraId="0E23C1A7" w14:textId="77777777" w:rsidR="004354BE" w:rsidRPr="004354BE" w:rsidRDefault="004354BE" w:rsidP="004354BE">
            <w:pPr>
              <w:pStyle w:val="Tabletext"/>
              <w:rPr>
                <w:rFonts w:ascii="Verdana" w:hAnsi="Verdana"/>
              </w:rPr>
            </w:pPr>
            <w:r w:rsidRPr="004354BE">
              <w:rPr>
                <w:rFonts w:ascii="Verdana" w:hAnsi="Verdana"/>
              </w:rPr>
              <w:t>Age 20-24</w:t>
            </w:r>
          </w:p>
        </w:tc>
        <w:tc>
          <w:tcPr>
            <w:tcW w:w="1792" w:type="dxa"/>
          </w:tcPr>
          <w:p w14:paraId="0CC8D067" w14:textId="77777777" w:rsidR="004354BE" w:rsidRPr="004354BE" w:rsidRDefault="004354BE" w:rsidP="004354BE">
            <w:pPr>
              <w:pStyle w:val="Tabletext"/>
              <w:rPr>
                <w:rFonts w:ascii="Verdana" w:hAnsi="Verdana"/>
              </w:rPr>
            </w:pPr>
            <w:r w:rsidRPr="004354BE">
              <w:rPr>
                <w:rFonts w:ascii="Verdana" w:hAnsi="Verdana"/>
              </w:rPr>
              <w:t>Age 25+</w:t>
            </w:r>
          </w:p>
        </w:tc>
        <w:tc>
          <w:tcPr>
            <w:tcW w:w="1791" w:type="dxa"/>
          </w:tcPr>
          <w:p w14:paraId="0EEFC3C2" w14:textId="77777777" w:rsidR="004354BE" w:rsidRPr="004354BE" w:rsidRDefault="004354BE" w:rsidP="004354BE">
            <w:pPr>
              <w:pStyle w:val="Tabletext"/>
              <w:rPr>
                <w:rFonts w:ascii="Verdana" w:hAnsi="Verdana"/>
              </w:rPr>
            </w:pPr>
            <w:r w:rsidRPr="004354BE">
              <w:rPr>
                <w:rFonts w:ascii="Verdana" w:hAnsi="Verdana"/>
              </w:rPr>
              <w:t xml:space="preserve">Total </w:t>
            </w:r>
          </w:p>
        </w:tc>
      </w:tr>
      <w:tr w:rsidR="004354BE" w:rsidRPr="00F32E15" w14:paraId="7CCB735C" w14:textId="77777777" w:rsidTr="004354BE">
        <w:trPr>
          <w:trHeight w:val="411"/>
        </w:trPr>
        <w:tc>
          <w:tcPr>
            <w:tcW w:w="3950" w:type="dxa"/>
          </w:tcPr>
          <w:p w14:paraId="64D92512" w14:textId="77777777" w:rsidR="004354BE" w:rsidRPr="004354BE" w:rsidRDefault="004354BE" w:rsidP="004354BE">
            <w:pPr>
              <w:pStyle w:val="Tabletext"/>
              <w:rPr>
                <w:rFonts w:ascii="Verdana" w:hAnsi="Verdana"/>
              </w:rPr>
            </w:pPr>
            <w:r w:rsidRPr="004354BE">
              <w:rPr>
                <w:rFonts w:ascii="Verdana" w:hAnsi="Verdana"/>
              </w:rPr>
              <w:t>Level of education (i.e. basic, vocational, higher)</w:t>
            </w:r>
          </w:p>
        </w:tc>
        <w:tc>
          <w:tcPr>
            <w:tcW w:w="1791" w:type="dxa"/>
          </w:tcPr>
          <w:p w14:paraId="79701FB1" w14:textId="77777777" w:rsidR="004354BE" w:rsidRPr="004354BE" w:rsidRDefault="004354BE" w:rsidP="004354BE">
            <w:pPr>
              <w:pStyle w:val="Tabletext"/>
              <w:rPr>
                <w:rFonts w:ascii="Verdana" w:hAnsi="Verdana"/>
              </w:rPr>
            </w:pPr>
          </w:p>
        </w:tc>
        <w:tc>
          <w:tcPr>
            <w:tcW w:w="1792" w:type="dxa"/>
          </w:tcPr>
          <w:p w14:paraId="5D7CC8AD" w14:textId="77777777" w:rsidR="004354BE" w:rsidRPr="004354BE" w:rsidRDefault="004354BE" w:rsidP="004354BE">
            <w:pPr>
              <w:pStyle w:val="Tabletext"/>
              <w:rPr>
                <w:rFonts w:ascii="Verdana" w:hAnsi="Verdana"/>
              </w:rPr>
            </w:pPr>
          </w:p>
        </w:tc>
        <w:tc>
          <w:tcPr>
            <w:tcW w:w="1791" w:type="dxa"/>
          </w:tcPr>
          <w:p w14:paraId="172B8CF6" w14:textId="77777777" w:rsidR="004354BE" w:rsidRPr="004354BE" w:rsidRDefault="004354BE" w:rsidP="004354BE">
            <w:pPr>
              <w:pStyle w:val="Tabletext"/>
              <w:rPr>
                <w:rFonts w:ascii="Verdana" w:hAnsi="Verdana"/>
              </w:rPr>
            </w:pPr>
          </w:p>
        </w:tc>
      </w:tr>
      <w:tr w:rsidR="004354BE" w:rsidRPr="004354BE" w14:paraId="3A7B660A" w14:textId="77777777" w:rsidTr="004354BE">
        <w:trPr>
          <w:trHeight w:val="411"/>
        </w:trPr>
        <w:tc>
          <w:tcPr>
            <w:tcW w:w="3950" w:type="dxa"/>
          </w:tcPr>
          <w:p w14:paraId="241580E4" w14:textId="77777777" w:rsidR="004354BE" w:rsidRPr="004354BE" w:rsidRDefault="004354BE" w:rsidP="004354BE">
            <w:pPr>
              <w:pStyle w:val="Tabletext"/>
              <w:rPr>
                <w:rFonts w:ascii="Verdana" w:hAnsi="Verdana"/>
              </w:rPr>
            </w:pPr>
            <w:r w:rsidRPr="004354BE">
              <w:rPr>
                <w:rFonts w:ascii="Verdana" w:hAnsi="Verdana"/>
              </w:rPr>
              <w:t xml:space="preserve">Primary </w:t>
            </w:r>
          </w:p>
        </w:tc>
        <w:tc>
          <w:tcPr>
            <w:tcW w:w="1791" w:type="dxa"/>
          </w:tcPr>
          <w:p w14:paraId="67FE7707" w14:textId="77777777" w:rsidR="004354BE" w:rsidRPr="004354BE" w:rsidRDefault="004354BE" w:rsidP="004354BE">
            <w:pPr>
              <w:pStyle w:val="Tabletext"/>
              <w:rPr>
                <w:rFonts w:ascii="Verdana" w:hAnsi="Verdana"/>
              </w:rPr>
            </w:pPr>
            <w:r w:rsidRPr="004354BE">
              <w:rPr>
                <w:rFonts w:ascii="Verdana" w:hAnsi="Verdana"/>
              </w:rPr>
              <w:t>664</w:t>
            </w:r>
          </w:p>
        </w:tc>
        <w:tc>
          <w:tcPr>
            <w:tcW w:w="1792" w:type="dxa"/>
          </w:tcPr>
          <w:p w14:paraId="28293D55" w14:textId="77777777" w:rsidR="004354BE" w:rsidRPr="004354BE" w:rsidRDefault="004354BE" w:rsidP="004354BE">
            <w:pPr>
              <w:pStyle w:val="Tabletext"/>
              <w:rPr>
                <w:rFonts w:ascii="Verdana" w:hAnsi="Verdana"/>
              </w:rPr>
            </w:pPr>
            <w:r w:rsidRPr="004354BE">
              <w:rPr>
                <w:rFonts w:ascii="Verdana" w:hAnsi="Verdana"/>
              </w:rPr>
              <w:t>7,778</w:t>
            </w:r>
          </w:p>
        </w:tc>
        <w:tc>
          <w:tcPr>
            <w:tcW w:w="1791" w:type="dxa"/>
          </w:tcPr>
          <w:p w14:paraId="5122AE09" w14:textId="77777777" w:rsidR="004354BE" w:rsidRPr="004354BE" w:rsidRDefault="004354BE" w:rsidP="004354BE">
            <w:pPr>
              <w:pStyle w:val="Tabletext"/>
              <w:rPr>
                <w:rFonts w:ascii="Verdana" w:hAnsi="Verdana"/>
              </w:rPr>
            </w:pPr>
            <w:r w:rsidRPr="004354BE">
              <w:rPr>
                <w:rFonts w:ascii="Verdana" w:hAnsi="Verdana"/>
              </w:rPr>
              <w:t>8,442</w:t>
            </w:r>
          </w:p>
        </w:tc>
      </w:tr>
      <w:tr w:rsidR="004354BE" w:rsidRPr="004354BE" w14:paraId="17741CC4" w14:textId="77777777" w:rsidTr="004354BE">
        <w:trPr>
          <w:trHeight w:val="411"/>
        </w:trPr>
        <w:tc>
          <w:tcPr>
            <w:tcW w:w="3950" w:type="dxa"/>
          </w:tcPr>
          <w:p w14:paraId="2B064E26" w14:textId="77777777" w:rsidR="004354BE" w:rsidRPr="004354BE" w:rsidRDefault="004354BE" w:rsidP="004354BE">
            <w:pPr>
              <w:pStyle w:val="Tabletext"/>
              <w:rPr>
                <w:rFonts w:ascii="Verdana" w:hAnsi="Verdana"/>
              </w:rPr>
            </w:pPr>
            <w:r w:rsidRPr="004354BE">
              <w:rPr>
                <w:rFonts w:ascii="Verdana" w:hAnsi="Verdana"/>
              </w:rPr>
              <w:t xml:space="preserve">Lower secondary </w:t>
            </w:r>
          </w:p>
        </w:tc>
        <w:tc>
          <w:tcPr>
            <w:tcW w:w="1791" w:type="dxa"/>
          </w:tcPr>
          <w:p w14:paraId="2BF0CA58" w14:textId="77777777" w:rsidR="004354BE" w:rsidRPr="004354BE" w:rsidRDefault="004354BE" w:rsidP="004354BE">
            <w:pPr>
              <w:pStyle w:val="Tabletext"/>
              <w:rPr>
                <w:rFonts w:ascii="Verdana" w:hAnsi="Verdana"/>
              </w:rPr>
            </w:pPr>
            <w:r w:rsidRPr="004354BE">
              <w:rPr>
                <w:rFonts w:ascii="Verdana" w:hAnsi="Verdana"/>
              </w:rPr>
              <w:t>2,290</w:t>
            </w:r>
          </w:p>
        </w:tc>
        <w:tc>
          <w:tcPr>
            <w:tcW w:w="1792" w:type="dxa"/>
          </w:tcPr>
          <w:p w14:paraId="4F8F50D5" w14:textId="77777777" w:rsidR="004354BE" w:rsidRPr="004354BE" w:rsidRDefault="004354BE" w:rsidP="004354BE">
            <w:pPr>
              <w:pStyle w:val="Tabletext"/>
              <w:rPr>
                <w:rFonts w:ascii="Verdana" w:hAnsi="Verdana"/>
              </w:rPr>
            </w:pPr>
            <w:r w:rsidRPr="004354BE">
              <w:rPr>
                <w:rFonts w:ascii="Verdana" w:hAnsi="Verdana"/>
              </w:rPr>
              <w:t>13,888</w:t>
            </w:r>
          </w:p>
        </w:tc>
        <w:tc>
          <w:tcPr>
            <w:tcW w:w="1791" w:type="dxa"/>
          </w:tcPr>
          <w:p w14:paraId="481CE46E" w14:textId="77777777" w:rsidR="004354BE" w:rsidRPr="004354BE" w:rsidRDefault="004354BE" w:rsidP="004354BE">
            <w:pPr>
              <w:pStyle w:val="Tabletext"/>
              <w:rPr>
                <w:rFonts w:ascii="Verdana" w:hAnsi="Verdana"/>
              </w:rPr>
            </w:pPr>
            <w:r w:rsidRPr="004354BE">
              <w:rPr>
                <w:rFonts w:ascii="Verdana" w:hAnsi="Verdana"/>
              </w:rPr>
              <w:t>16,178</w:t>
            </w:r>
          </w:p>
        </w:tc>
      </w:tr>
      <w:tr w:rsidR="004354BE" w:rsidRPr="004354BE" w14:paraId="236DBA12" w14:textId="77777777" w:rsidTr="004354BE">
        <w:trPr>
          <w:trHeight w:val="411"/>
        </w:trPr>
        <w:tc>
          <w:tcPr>
            <w:tcW w:w="3950" w:type="dxa"/>
          </w:tcPr>
          <w:p w14:paraId="5C8045A5" w14:textId="77777777" w:rsidR="004354BE" w:rsidRPr="004354BE" w:rsidRDefault="004354BE" w:rsidP="004354BE">
            <w:pPr>
              <w:pStyle w:val="Tabletext"/>
              <w:rPr>
                <w:rFonts w:ascii="Verdana" w:hAnsi="Verdana"/>
              </w:rPr>
            </w:pPr>
            <w:r w:rsidRPr="004354BE">
              <w:rPr>
                <w:rFonts w:ascii="Verdana" w:hAnsi="Verdana"/>
              </w:rPr>
              <w:t xml:space="preserve">Upper secondary </w:t>
            </w:r>
          </w:p>
        </w:tc>
        <w:tc>
          <w:tcPr>
            <w:tcW w:w="1791" w:type="dxa"/>
          </w:tcPr>
          <w:p w14:paraId="3FFCBEDB" w14:textId="77777777" w:rsidR="004354BE" w:rsidRPr="004354BE" w:rsidRDefault="004354BE" w:rsidP="004354BE">
            <w:pPr>
              <w:pStyle w:val="Tabletext"/>
              <w:rPr>
                <w:rFonts w:ascii="Verdana" w:hAnsi="Verdana"/>
              </w:rPr>
            </w:pPr>
            <w:r w:rsidRPr="004354BE">
              <w:rPr>
                <w:rFonts w:ascii="Verdana" w:hAnsi="Verdana"/>
              </w:rPr>
              <w:t>37,148</w:t>
            </w:r>
          </w:p>
        </w:tc>
        <w:tc>
          <w:tcPr>
            <w:tcW w:w="1792" w:type="dxa"/>
          </w:tcPr>
          <w:p w14:paraId="5E32B152" w14:textId="77777777" w:rsidR="004354BE" w:rsidRPr="004354BE" w:rsidRDefault="004354BE" w:rsidP="004354BE">
            <w:pPr>
              <w:pStyle w:val="Tabletext"/>
              <w:rPr>
                <w:rFonts w:ascii="Verdana" w:hAnsi="Verdana"/>
              </w:rPr>
            </w:pPr>
            <w:r w:rsidRPr="004354BE">
              <w:rPr>
                <w:rFonts w:ascii="Verdana" w:hAnsi="Verdana"/>
              </w:rPr>
              <w:t>21,644</w:t>
            </w:r>
          </w:p>
        </w:tc>
        <w:tc>
          <w:tcPr>
            <w:tcW w:w="1791" w:type="dxa"/>
          </w:tcPr>
          <w:p w14:paraId="59C987DB" w14:textId="77777777" w:rsidR="004354BE" w:rsidRPr="004354BE" w:rsidRDefault="004354BE" w:rsidP="004354BE">
            <w:pPr>
              <w:pStyle w:val="Tabletext"/>
              <w:rPr>
                <w:rFonts w:ascii="Verdana" w:hAnsi="Verdana"/>
              </w:rPr>
            </w:pPr>
            <w:r w:rsidRPr="004354BE">
              <w:rPr>
                <w:rFonts w:ascii="Verdana" w:hAnsi="Verdana"/>
              </w:rPr>
              <w:t>58,792</w:t>
            </w:r>
          </w:p>
        </w:tc>
      </w:tr>
      <w:tr w:rsidR="004354BE" w:rsidRPr="004354BE" w14:paraId="76C787D9" w14:textId="77777777" w:rsidTr="004354BE">
        <w:trPr>
          <w:trHeight w:val="411"/>
        </w:trPr>
        <w:tc>
          <w:tcPr>
            <w:tcW w:w="3950" w:type="dxa"/>
          </w:tcPr>
          <w:p w14:paraId="43881264" w14:textId="77777777" w:rsidR="004354BE" w:rsidRPr="004354BE" w:rsidRDefault="004354BE" w:rsidP="004354BE">
            <w:pPr>
              <w:pStyle w:val="Tabletext"/>
              <w:rPr>
                <w:rFonts w:ascii="Verdana" w:hAnsi="Verdana"/>
              </w:rPr>
            </w:pPr>
            <w:r w:rsidRPr="004354BE">
              <w:rPr>
                <w:rFonts w:ascii="Verdana" w:hAnsi="Verdana"/>
              </w:rPr>
              <w:t>Post-secondary non-tertiary education</w:t>
            </w:r>
          </w:p>
        </w:tc>
        <w:tc>
          <w:tcPr>
            <w:tcW w:w="1791" w:type="dxa"/>
          </w:tcPr>
          <w:p w14:paraId="5636559A" w14:textId="77777777" w:rsidR="004354BE" w:rsidRPr="004354BE" w:rsidRDefault="004354BE" w:rsidP="004354BE">
            <w:pPr>
              <w:pStyle w:val="Tabletext"/>
              <w:rPr>
                <w:rFonts w:ascii="Verdana" w:hAnsi="Verdana"/>
              </w:rPr>
            </w:pPr>
          </w:p>
        </w:tc>
        <w:tc>
          <w:tcPr>
            <w:tcW w:w="1792" w:type="dxa"/>
          </w:tcPr>
          <w:p w14:paraId="7D7ED586" w14:textId="77777777" w:rsidR="004354BE" w:rsidRPr="004354BE" w:rsidRDefault="004354BE" w:rsidP="004354BE">
            <w:pPr>
              <w:pStyle w:val="Tabletext"/>
              <w:rPr>
                <w:rFonts w:ascii="Verdana" w:hAnsi="Verdana"/>
              </w:rPr>
            </w:pPr>
            <w:r w:rsidRPr="004354BE">
              <w:rPr>
                <w:rFonts w:ascii="Verdana" w:hAnsi="Verdana"/>
              </w:rPr>
              <w:t>2,870</w:t>
            </w:r>
          </w:p>
        </w:tc>
        <w:tc>
          <w:tcPr>
            <w:tcW w:w="1791" w:type="dxa"/>
          </w:tcPr>
          <w:p w14:paraId="05D27B0E" w14:textId="77777777" w:rsidR="004354BE" w:rsidRPr="004354BE" w:rsidRDefault="004354BE" w:rsidP="004354BE">
            <w:pPr>
              <w:pStyle w:val="Tabletext"/>
              <w:rPr>
                <w:rFonts w:ascii="Verdana" w:hAnsi="Verdana"/>
              </w:rPr>
            </w:pPr>
          </w:p>
        </w:tc>
      </w:tr>
      <w:tr w:rsidR="004354BE" w:rsidRPr="004354BE" w14:paraId="46C29661" w14:textId="77777777" w:rsidTr="004354BE">
        <w:trPr>
          <w:trHeight w:val="411"/>
        </w:trPr>
        <w:tc>
          <w:tcPr>
            <w:tcW w:w="3950" w:type="dxa"/>
          </w:tcPr>
          <w:p w14:paraId="5FB37FC6" w14:textId="77777777" w:rsidR="004354BE" w:rsidRPr="004354BE" w:rsidRDefault="004354BE" w:rsidP="004354BE">
            <w:pPr>
              <w:pStyle w:val="Tabletext"/>
              <w:rPr>
                <w:rFonts w:ascii="Verdana" w:hAnsi="Verdana"/>
              </w:rPr>
            </w:pPr>
            <w:r w:rsidRPr="004354BE">
              <w:rPr>
                <w:rFonts w:ascii="Verdana" w:hAnsi="Verdana"/>
              </w:rPr>
              <w:t>Short-cycle tertiary education</w:t>
            </w:r>
          </w:p>
        </w:tc>
        <w:tc>
          <w:tcPr>
            <w:tcW w:w="1791" w:type="dxa"/>
          </w:tcPr>
          <w:p w14:paraId="0439B729" w14:textId="77777777" w:rsidR="004354BE" w:rsidRPr="004354BE" w:rsidRDefault="004354BE" w:rsidP="004354BE">
            <w:pPr>
              <w:pStyle w:val="Tabletext"/>
              <w:rPr>
                <w:rFonts w:ascii="Verdana" w:hAnsi="Verdana"/>
              </w:rPr>
            </w:pPr>
          </w:p>
        </w:tc>
        <w:tc>
          <w:tcPr>
            <w:tcW w:w="1792" w:type="dxa"/>
          </w:tcPr>
          <w:p w14:paraId="35344669" w14:textId="77777777" w:rsidR="004354BE" w:rsidRPr="004354BE" w:rsidRDefault="004354BE" w:rsidP="004354BE">
            <w:pPr>
              <w:pStyle w:val="Tabletext"/>
              <w:rPr>
                <w:rFonts w:ascii="Verdana" w:hAnsi="Verdana"/>
              </w:rPr>
            </w:pPr>
            <w:r w:rsidRPr="004354BE">
              <w:rPr>
                <w:rFonts w:ascii="Verdana" w:hAnsi="Verdana"/>
              </w:rPr>
              <w:t>201</w:t>
            </w:r>
          </w:p>
        </w:tc>
        <w:tc>
          <w:tcPr>
            <w:tcW w:w="1791" w:type="dxa"/>
          </w:tcPr>
          <w:p w14:paraId="317DEB8F" w14:textId="77777777" w:rsidR="004354BE" w:rsidRPr="004354BE" w:rsidRDefault="004354BE" w:rsidP="004354BE">
            <w:pPr>
              <w:pStyle w:val="Tabletext"/>
              <w:rPr>
                <w:rFonts w:ascii="Verdana" w:hAnsi="Verdana"/>
              </w:rPr>
            </w:pPr>
          </w:p>
        </w:tc>
      </w:tr>
      <w:tr w:rsidR="004354BE" w:rsidRPr="004354BE" w14:paraId="09DD7981" w14:textId="77777777" w:rsidTr="004354BE">
        <w:trPr>
          <w:trHeight w:val="411"/>
        </w:trPr>
        <w:tc>
          <w:tcPr>
            <w:tcW w:w="3950" w:type="dxa"/>
          </w:tcPr>
          <w:p w14:paraId="320FE161" w14:textId="77777777" w:rsidR="004354BE" w:rsidRPr="004354BE" w:rsidRDefault="004354BE" w:rsidP="004354BE">
            <w:pPr>
              <w:pStyle w:val="Tabletext"/>
              <w:rPr>
                <w:rFonts w:ascii="Verdana" w:hAnsi="Verdana"/>
              </w:rPr>
            </w:pPr>
            <w:r w:rsidRPr="004354BE">
              <w:rPr>
                <w:rFonts w:ascii="Verdana" w:hAnsi="Verdana"/>
              </w:rPr>
              <w:t>Bachelor's or equivalent level</w:t>
            </w:r>
          </w:p>
        </w:tc>
        <w:tc>
          <w:tcPr>
            <w:tcW w:w="1791" w:type="dxa"/>
          </w:tcPr>
          <w:p w14:paraId="26460D6C" w14:textId="77777777" w:rsidR="004354BE" w:rsidRPr="004354BE" w:rsidRDefault="004354BE" w:rsidP="004354BE">
            <w:pPr>
              <w:pStyle w:val="Tabletext"/>
              <w:rPr>
                <w:rFonts w:ascii="Verdana" w:hAnsi="Verdana"/>
              </w:rPr>
            </w:pPr>
          </w:p>
        </w:tc>
        <w:tc>
          <w:tcPr>
            <w:tcW w:w="1792" w:type="dxa"/>
          </w:tcPr>
          <w:p w14:paraId="687DB123" w14:textId="77777777" w:rsidR="004354BE" w:rsidRPr="004354BE" w:rsidRDefault="004354BE" w:rsidP="004354BE">
            <w:pPr>
              <w:pStyle w:val="Tabletext"/>
              <w:rPr>
                <w:rFonts w:ascii="Verdana" w:hAnsi="Verdana"/>
              </w:rPr>
            </w:pPr>
            <w:r w:rsidRPr="004354BE">
              <w:rPr>
                <w:rFonts w:ascii="Verdana" w:hAnsi="Verdana"/>
              </w:rPr>
              <w:t>50,159</w:t>
            </w:r>
          </w:p>
        </w:tc>
        <w:tc>
          <w:tcPr>
            <w:tcW w:w="1791" w:type="dxa"/>
          </w:tcPr>
          <w:p w14:paraId="390181CD" w14:textId="77777777" w:rsidR="004354BE" w:rsidRPr="004354BE" w:rsidRDefault="004354BE" w:rsidP="004354BE">
            <w:pPr>
              <w:pStyle w:val="Tabletext"/>
              <w:rPr>
                <w:rFonts w:ascii="Verdana" w:hAnsi="Verdana"/>
              </w:rPr>
            </w:pPr>
          </w:p>
        </w:tc>
      </w:tr>
      <w:tr w:rsidR="004354BE" w:rsidRPr="004354BE" w14:paraId="0BCE4D59" w14:textId="77777777" w:rsidTr="004354BE">
        <w:trPr>
          <w:trHeight w:val="411"/>
        </w:trPr>
        <w:tc>
          <w:tcPr>
            <w:tcW w:w="3950" w:type="dxa"/>
          </w:tcPr>
          <w:p w14:paraId="108B1026" w14:textId="77777777" w:rsidR="004354BE" w:rsidRPr="004354BE" w:rsidRDefault="004354BE" w:rsidP="004354BE">
            <w:pPr>
              <w:pStyle w:val="Tabletext"/>
              <w:rPr>
                <w:rFonts w:ascii="Verdana" w:hAnsi="Verdana"/>
              </w:rPr>
            </w:pPr>
            <w:r w:rsidRPr="004354BE">
              <w:rPr>
                <w:rFonts w:ascii="Verdana" w:hAnsi="Verdana"/>
              </w:rPr>
              <w:t>Master's or equivalent level</w:t>
            </w:r>
          </w:p>
        </w:tc>
        <w:tc>
          <w:tcPr>
            <w:tcW w:w="1791" w:type="dxa"/>
          </w:tcPr>
          <w:p w14:paraId="41F743D1" w14:textId="77777777" w:rsidR="004354BE" w:rsidRPr="004354BE" w:rsidRDefault="004354BE" w:rsidP="004354BE">
            <w:pPr>
              <w:pStyle w:val="Tabletext"/>
              <w:rPr>
                <w:rFonts w:ascii="Verdana" w:hAnsi="Verdana"/>
              </w:rPr>
            </w:pPr>
          </w:p>
        </w:tc>
        <w:tc>
          <w:tcPr>
            <w:tcW w:w="1792" w:type="dxa"/>
          </w:tcPr>
          <w:p w14:paraId="45F183BD" w14:textId="77777777" w:rsidR="004354BE" w:rsidRPr="004354BE" w:rsidRDefault="004354BE" w:rsidP="004354BE">
            <w:pPr>
              <w:pStyle w:val="Tabletext"/>
              <w:rPr>
                <w:rFonts w:ascii="Verdana" w:hAnsi="Verdana"/>
              </w:rPr>
            </w:pPr>
            <w:r w:rsidRPr="004354BE">
              <w:rPr>
                <w:rFonts w:ascii="Verdana" w:hAnsi="Verdana"/>
              </w:rPr>
              <w:t>41,139</w:t>
            </w:r>
          </w:p>
        </w:tc>
        <w:tc>
          <w:tcPr>
            <w:tcW w:w="1791" w:type="dxa"/>
          </w:tcPr>
          <w:p w14:paraId="5D57C931" w14:textId="77777777" w:rsidR="004354BE" w:rsidRPr="004354BE" w:rsidRDefault="004354BE" w:rsidP="004354BE">
            <w:pPr>
              <w:pStyle w:val="Tabletext"/>
              <w:rPr>
                <w:rFonts w:ascii="Verdana" w:hAnsi="Verdana"/>
              </w:rPr>
            </w:pPr>
          </w:p>
        </w:tc>
      </w:tr>
      <w:tr w:rsidR="004354BE" w:rsidRPr="004354BE" w14:paraId="33E62B7C" w14:textId="77777777" w:rsidTr="004354BE">
        <w:trPr>
          <w:trHeight w:val="411"/>
        </w:trPr>
        <w:tc>
          <w:tcPr>
            <w:tcW w:w="3950" w:type="dxa"/>
          </w:tcPr>
          <w:p w14:paraId="0479FC11" w14:textId="77777777" w:rsidR="004354BE" w:rsidRPr="004354BE" w:rsidRDefault="004354BE" w:rsidP="004354BE">
            <w:pPr>
              <w:pStyle w:val="Tabletext"/>
              <w:rPr>
                <w:rFonts w:ascii="Verdana" w:hAnsi="Verdana"/>
              </w:rPr>
            </w:pPr>
            <w:r w:rsidRPr="004354BE">
              <w:rPr>
                <w:rFonts w:ascii="Verdana" w:hAnsi="Verdana"/>
              </w:rPr>
              <w:t>Doctoral or equivalent level</w:t>
            </w:r>
          </w:p>
        </w:tc>
        <w:tc>
          <w:tcPr>
            <w:tcW w:w="1791" w:type="dxa"/>
          </w:tcPr>
          <w:p w14:paraId="56C7DC82" w14:textId="77777777" w:rsidR="004354BE" w:rsidRPr="004354BE" w:rsidRDefault="004354BE" w:rsidP="004354BE">
            <w:pPr>
              <w:pStyle w:val="Tabletext"/>
              <w:rPr>
                <w:rFonts w:ascii="Verdana" w:hAnsi="Verdana"/>
              </w:rPr>
            </w:pPr>
          </w:p>
        </w:tc>
        <w:tc>
          <w:tcPr>
            <w:tcW w:w="1792" w:type="dxa"/>
          </w:tcPr>
          <w:p w14:paraId="4C635A3E" w14:textId="77777777" w:rsidR="004354BE" w:rsidRPr="004354BE" w:rsidRDefault="004354BE" w:rsidP="004354BE">
            <w:pPr>
              <w:pStyle w:val="Tabletext"/>
              <w:rPr>
                <w:rFonts w:ascii="Verdana" w:hAnsi="Verdana"/>
              </w:rPr>
            </w:pPr>
            <w:r w:rsidRPr="004354BE">
              <w:rPr>
                <w:rFonts w:ascii="Verdana" w:hAnsi="Verdana"/>
              </w:rPr>
              <w:t>18,697</w:t>
            </w:r>
          </w:p>
        </w:tc>
        <w:tc>
          <w:tcPr>
            <w:tcW w:w="1791" w:type="dxa"/>
          </w:tcPr>
          <w:p w14:paraId="1A89CF66" w14:textId="77777777" w:rsidR="004354BE" w:rsidRPr="004354BE" w:rsidRDefault="004354BE" w:rsidP="004354BE">
            <w:pPr>
              <w:pStyle w:val="Tabletext"/>
              <w:rPr>
                <w:rFonts w:ascii="Verdana" w:hAnsi="Verdana"/>
              </w:rPr>
            </w:pPr>
          </w:p>
        </w:tc>
      </w:tr>
      <w:tr w:rsidR="004354BE" w:rsidRPr="004354BE" w14:paraId="09CD7E50" w14:textId="77777777" w:rsidTr="004354BE">
        <w:trPr>
          <w:trHeight w:val="411"/>
        </w:trPr>
        <w:tc>
          <w:tcPr>
            <w:tcW w:w="7533" w:type="dxa"/>
            <w:gridSpan w:val="3"/>
          </w:tcPr>
          <w:p w14:paraId="201F0D10" w14:textId="77777777" w:rsidR="004354BE" w:rsidRPr="004354BE" w:rsidRDefault="004354BE" w:rsidP="004354BE">
            <w:pPr>
              <w:pStyle w:val="Tabletext"/>
              <w:rPr>
                <w:rFonts w:ascii="Verdana" w:hAnsi="Verdana"/>
              </w:rPr>
            </w:pPr>
          </w:p>
        </w:tc>
        <w:tc>
          <w:tcPr>
            <w:tcW w:w="1791" w:type="dxa"/>
          </w:tcPr>
          <w:p w14:paraId="6244F08F" w14:textId="77777777" w:rsidR="004354BE" w:rsidRPr="004354BE" w:rsidRDefault="004354BE" w:rsidP="004354BE">
            <w:pPr>
              <w:pStyle w:val="Tabletext"/>
              <w:rPr>
                <w:rFonts w:ascii="Verdana" w:hAnsi="Verdana"/>
              </w:rPr>
            </w:pPr>
            <w:r w:rsidRPr="004354BE">
              <w:rPr>
                <w:rFonts w:ascii="Verdana" w:hAnsi="Verdana"/>
              </w:rPr>
              <w:t>196,478</w:t>
            </w:r>
          </w:p>
        </w:tc>
      </w:tr>
    </w:tbl>
    <w:p w14:paraId="2B7366CE" w14:textId="623FFE94" w:rsidR="004354BE" w:rsidRPr="00F32E15" w:rsidRDefault="004354BE" w:rsidP="00324DC2">
      <w:pPr>
        <w:pStyle w:val="Body"/>
        <w:spacing w:before="0" w:beforeAutospacing="0" w:after="0" w:afterAutospacing="0"/>
        <w:rPr>
          <w:i/>
          <w:sz w:val="16"/>
          <w:szCs w:val="16"/>
          <w:lang w:val="en-GB"/>
        </w:rPr>
      </w:pPr>
      <w:r w:rsidRPr="00F32E15">
        <w:rPr>
          <w:i/>
          <w:sz w:val="16"/>
          <w:szCs w:val="16"/>
          <w:lang w:val="en-GB"/>
        </w:rPr>
        <w:t>Source: Eurostat, Eurostat database table “Pupils and students enrolled by education level, sex and age (educ_uoe_enra02)”, accessed 2017.08.21)</w:t>
      </w:r>
    </w:p>
    <w:p w14:paraId="3AE72482" w14:textId="77777777" w:rsidR="004354BE" w:rsidRPr="0053146B" w:rsidRDefault="004354BE" w:rsidP="00F41B98">
      <w:pPr>
        <w:pStyle w:val="Heading2"/>
      </w:pPr>
      <w:bookmarkStart w:id="15" w:name="_Toc491862483"/>
      <w:r w:rsidRPr="0053146B">
        <w:t>Provision</w:t>
      </w:r>
      <w:bookmarkEnd w:id="15"/>
    </w:p>
    <w:p w14:paraId="50705A01" w14:textId="7530BBEF" w:rsidR="00A50B9C" w:rsidRPr="00F32E15" w:rsidRDefault="004354BE" w:rsidP="004354BE">
      <w:pPr>
        <w:pStyle w:val="Body"/>
        <w:rPr>
          <w:lang w:val="en-GB"/>
        </w:rPr>
      </w:pPr>
      <w:r w:rsidRPr="00F32E15">
        <w:rPr>
          <w:lang w:val="en-GB"/>
        </w:rPr>
        <w:t xml:space="preserve">The adult education sector is very diversified and heterogeneous, including formal adult education and training (to obtain a formal school certification and/or a professional qualification by those who complete existing forms of public provision), vocational </w:t>
      </w:r>
      <w:r w:rsidRPr="00F32E15">
        <w:rPr>
          <w:lang w:val="en-GB"/>
        </w:rPr>
        <w:lastRenderedPageBreak/>
        <w:t>education and training, but also socio-cultural areas, and local development</w:t>
      </w:r>
      <w:r w:rsidRPr="0053146B">
        <w:rPr>
          <w:rStyle w:val="FootnoteReference"/>
        </w:rPr>
        <w:footnoteReference w:id="39"/>
      </w:r>
      <w:r w:rsidRPr="00F32E15">
        <w:rPr>
          <w:lang w:val="en-GB"/>
        </w:rPr>
        <w:t>. Apart from these four types of provision, other non-formal and informal activities and projects with an educational and learning impact within social movements and other non-formalised settings are also active</w:t>
      </w:r>
      <w:r w:rsidRPr="0053146B">
        <w:rPr>
          <w:rStyle w:val="FootnoteReference"/>
        </w:rPr>
        <w:footnoteReference w:id="40"/>
      </w:r>
      <w:r w:rsidRPr="00F32E15">
        <w:rPr>
          <w:lang w:val="en-GB"/>
        </w:rPr>
        <w:t>.</w:t>
      </w:r>
    </w:p>
    <w:p w14:paraId="0139BCD9" w14:textId="3F7DA9BB" w:rsidR="004354BE" w:rsidRPr="00F32E15" w:rsidRDefault="004354BE" w:rsidP="004354BE">
      <w:pPr>
        <w:pStyle w:val="Body"/>
        <w:rPr>
          <w:lang w:val="en-GB"/>
        </w:rPr>
      </w:pPr>
      <w:r w:rsidRPr="00F32E15">
        <w:rPr>
          <w:lang w:val="en-GB"/>
        </w:rPr>
        <w:t>There is no overarching legal, financial and structural framework for adult education</w:t>
      </w:r>
      <w:r w:rsidRPr="0053146B">
        <w:rPr>
          <w:rStyle w:val="FootnoteReference"/>
        </w:rPr>
        <w:footnoteReference w:id="41"/>
      </w:r>
      <w:r w:rsidRPr="00F32E15">
        <w:rPr>
          <w:lang w:val="en-GB"/>
        </w:rPr>
        <w:t xml:space="preserve"> as a whole (including the referred types of provision). Additionally, fragmented State policies have been in existence since 1974, when the Democratic Revolution occurred. At present, some activities are highly regulated, such as (formal) adult education and training, others are almost non-regulated or regulated such as domains that are not specifically educational, including sociocultural animation and local development. Many other non-State providers are civil society organisations (non-profit making) promoting educational, social, environmental and civic projects and activities</w:t>
      </w:r>
      <w:r w:rsidRPr="0053146B">
        <w:rPr>
          <w:rStyle w:val="FootnoteReference"/>
        </w:rPr>
        <w:footnoteReference w:id="42"/>
      </w:r>
      <w:r w:rsidRPr="00F32E15">
        <w:rPr>
          <w:lang w:val="en-GB"/>
        </w:rPr>
        <w:t xml:space="preserve">. </w:t>
      </w:r>
    </w:p>
    <w:p w14:paraId="1F0E7433" w14:textId="77777777" w:rsidR="004354BE" w:rsidRPr="00F32E15" w:rsidRDefault="004354BE" w:rsidP="004354BE">
      <w:pPr>
        <w:pStyle w:val="Body"/>
        <w:rPr>
          <w:lang w:val="en-GB"/>
        </w:rPr>
      </w:pPr>
      <w:r w:rsidRPr="00F32E15">
        <w:rPr>
          <w:lang w:val="en-GB"/>
        </w:rPr>
        <w:t>There are various organisations involved in adult education. Apart from formal education (basic and secondary schools, higher education) and training (such as vocational education and training) organisations, State-dependant services or departments (like museums, public libraries, public archives, etc.), private/profit making organisations can be found (directly involved in education – formal and non-formal - and training, such as enterprises that have training departments and also training enterprises). Also, there are civil society organisations, for example those in connection with specific economic sectors, trade unions, workers’ associations and professional associations, non-governmental organisations involved in areas such as local development, cultural animation, environmental projects, civic or political activities involved in adult education.</w:t>
      </w:r>
    </w:p>
    <w:p w14:paraId="0A73D80A" w14:textId="212B2DCB" w:rsidR="00A50B9C" w:rsidRPr="00F32E15" w:rsidRDefault="004354BE" w:rsidP="004354BE">
      <w:pPr>
        <w:pStyle w:val="Body"/>
        <w:rPr>
          <w:lang w:val="en-GB"/>
        </w:rPr>
      </w:pPr>
      <w:r w:rsidRPr="00F32E15">
        <w:rPr>
          <w:lang w:val="en-GB"/>
        </w:rPr>
        <w:t>The main providers of publicly funded adult education and training (recognition of prior learning) are local adult education centres. These are Qualify centres,</w:t>
      </w:r>
      <w:r w:rsidRPr="0053146B">
        <w:rPr>
          <w:rStyle w:val="FootnoteReference"/>
        </w:rPr>
        <w:footnoteReference w:id="43"/>
      </w:r>
      <w:r w:rsidRPr="00F32E15">
        <w:rPr>
          <w:lang w:val="en-GB"/>
        </w:rPr>
        <w:t xml:space="preserve"> and they are mainly State funded, although they can also be privately funded. Adult education and training courses can be provided by several organisations, such as State funded basic and secondary education schools, and centres dependent on the institute of employment and vocational training. Other State funded organisations can also provide such courses, as well as private/profit-making institutions or these that are civil society organisations. Modular training courses can be provided by State funded organisations, such as the ones dependent upon the institute of employment and vocational education and training, but also private/profit-making institutions, or those that are civil society organisations.</w:t>
      </w:r>
    </w:p>
    <w:p w14:paraId="108881E4" w14:textId="77777777" w:rsidR="00A50B9C" w:rsidRPr="00F32E15" w:rsidRDefault="00A50B9C">
      <w:pPr>
        <w:spacing w:after="0"/>
        <w:jc w:val="left"/>
        <w:rPr>
          <w:rFonts w:ascii="Verdana" w:hAnsi="Verdana"/>
          <w:sz w:val="20"/>
          <w:lang w:val="en-GB"/>
        </w:rPr>
      </w:pPr>
      <w:r w:rsidRPr="00F32E15">
        <w:rPr>
          <w:lang w:val="en-GB"/>
        </w:rPr>
        <w:br w:type="page"/>
      </w:r>
    </w:p>
    <w:p w14:paraId="288C60E1" w14:textId="77777777" w:rsidR="00A50B9C" w:rsidRPr="00F32E15" w:rsidRDefault="00A50B9C" w:rsidP="00F41B98">
      <w:pPr>
        <w:pStyle w:val="Heading3"/>
        <w:rPr>
          <w:lang w:val="en-GB"/>
        </w:rPr>
      </w:pPr>
      <w:bookmarkStart w:id="16" w:name="_Toc491862484"/>
      <w:r w:rsidRPr="00F32E15">
        <w:rPr>
          <w:lang w:val="en-GB"/>
        </w:rPr>
        <w:lastRenderedPageBreak/>
        <w:t>Helps adults improve their Basic Skills</w:t>
      </w:r>
      <w:bookmarkEnd w:id="16"/>
    </w:p>
    <w:p w14:paraId="2C6D5089" w14:textId="77777777" w:rsidR="00A50B9C" w:rsidRPr="00F32E15" w:rsidRDefault="00A50B9C" w:rsidP="00A50B9C">
      <w:pPr>
        <w:pStyle w:val="Body"/>
        <w:rPr>
          <w:lang w:val="en-GB"/>
        </w:rPr>
      </w:pPr>
      <w:r w:rsidRPr="00F32E15">
        <w:rPr>
          <w:lang w:val="en-GB"/>
        </w:rPr>
        <w:t>Provision exists that has a specific emphasis on improving adults’ basic skills, such as literacy/numeracy/ICT courses, based on short-term duration modules</w:t>
      </w:r>
      <w:r w:rsidRPr="00F83C0E">
        <w:rPr>
          <w:rStyle w:val="FootnoteReference"/>
        </w:rPr>
        <w:footnoteReference w:id="44"/>
      </w:r>
      <w:r w:rsidRPr="00F32E15">
        <w:rPr>
          <w:lang w:val="en-GB"/>
        </w:rPr>
        <w:t>. These courses are directed at adults willing to develop recognition of prior learning or adults that do not hold a 1st cycle school education level. These courses include literacy/reading and writing modules, numeracy modules, and ICT module, according to the national qualifications catalogue. Each module is 50 hours, and adults enrolled can attend a minimum of 150 hours and a maximum of 300 hours. These courses have been implemented by several institutions such as State dependant ones, the Institute of Employment and Vocational Education and Training, as well as by several civil society organisations or even by private/profit-making ones after application. No systemised data was found concerning adults enrolled or certified in these courses.</w:t>
      </w:r>
    </w:p>
    <w:p w14:paraId="78B76578" w14:textId="77777777" w:rsidR="00A50B9C" w:rsidRPr="00F32E15" w:rsidRDefault="00A50B9C" w:rsidP="00F41B98">
      <w:pPr>
        <w:pStyle w:val="Heading3"/>
        <w:rPr>
          <w:lang w:val="en-GB"/>
        </w:rPr>
      </w:pPr>
      <w:bookmarkStart w:id="17" w:name="_Toc491862485"/>
      <w:r w:rsidRPr="00F32E15">
        <w:rPr>
          <w:lang w:val="en-GB"/>
        </w:rPr>
        <w:t>Helps adults achieve a Recognised Qualification</w:t>
      </w:r>
      <w:bookmarkEnd w:id="17"/>
    </w:p>
    <w:p w14:paraId="2EBC944C" w14:textId="77777777" w:rsidR="00A50B9C" w:rsidRPr="00F32E15" w:rsidRDefault="00A50B9C" w:rsidP="00A50B9C">
      <w:pPr>
        <w:pStyle w:val="Body"/>
        <w:rPr>
          <w:lang w:val="en-GB"/>
        </w:rPr>
      </w:pPr>
      <w:r w:rsidRPr="00F32E15">
        <w:rPr>
          <w:lang w:val="en-GB"/>
        </w:rPr>
        <w:t>Recognition of prior learning makes it possible for low qualified adult learners to obtain school certification and/or professional qualification by means of validation of non-formal and informal learning at different stages of an individual’s life/career progression. It is carried out according to different areas of key competences and levels of school certification and professional qualification, according to the existing standards of competences</w:t>
      </w:r>
      <w:r w:rsidRPr="00F83C0E">
        <w:rPr>
          <w:rStyle w:val="FootnoteReference"/>
        </w:rPr>
        <w:footnoteReference w:id="45"/>
      </w:r>
      <w:r w:rsidRPr="00F32E15">
        <w:rPr>
          <w:lang w:val="en-GB"/>
        </w:rPr>
        <w:t>. It has the same legal value as any other way of obtaining school certification. It allows learners to pursue further studies in other forms of provision of the national education and training system, and professional qualification. The validation of non-formal and informal learning is directed at acquiring school certification (equivalent to 6, 9 and 12 years of schooling, levels 1, 2 and 3 of the national qualifications framework and of the European Qualifications Framework; ISCED 1, 2 and 3) and/or professional qualification (equivalent to levels 2 and 4 of the national qualification framework and of the European Qualifications Framework).</w:t>
      </w:r>
    </w:p>
    <w:p w14:paraId="1391EA13" w14:textId="053FBF7E" w:rsidR="00593700" w:rsidRPr="00F32E15" w:rsidRDefault="00A50B9C" w:rsidP="00A50B9C">
      <w:pPr>
        <w:pStyle w:val="Body"/>
        <w:rPr>
          <w:lang w:val="en-GB"/>
        </w:rPr>
      </w:pPr>
      <w:r w:rsidRPr="00F32E15">
        <w:rPr>
          <w:lang w:val="en-GB"/>
        </w:rPr>
        <w:t>Adult education and training courses are directed at low qualified adults older than 18 years. These courses are developed according to school certification and/or professional qualification, and, whenever suitable to adults’ profiles and experience, for school certification only. The courses provide adult learners with the possibility to acquire school and/or professional competences, aiming for (re)integration or progression in the labour market. The courses are directed at acquiring school certification (equivalent to 6, 9 and 12 years of schooling, levels 1, 2 and 3 of the national qualifications framework and of the European Qualifications Framework – ISCED 1, 2 and 3) and/or professional qualification (equivalent to levels 2 and 4 of the national qualification framework and of the European Qualifications Framework).</w:t>
      </w:r>
    </w:p>
    <w:p w14:paraId="79A1FA58" w14:textId="77777777" w:rsidR="00593700" w:rsidRPr="00F32E15" w:rsidRDefault="00593700">
      <w:pPr>
        <w:spacing w:after="0"/>
        <w:jc w:val="left"/>
        <w:rPr>
          <w:rFonts w:ascii="Verdana" w:hAnsi="Verdana"/>
          <w:sz w:val="20"/>
          <w:lang w:val="en-GB"/>
        </w:rPr>
      </w:pPr>
      <w:r w:rsidRPr="00F32E15">
        <w:rPr>
          <w:lang w:val="en-GB"/>
        </w:rPr>
        <w:br w:type="page"/>
      </w:r>
    </w:p>
    <w:p w14:paraId="1183327B" w14:textId="77777777" w:rsidR="00593700" w:rsidRPr="00F32E15" w:rsidRDefault="00593700" w:rsidP="00F41B98">
      <w:pPr>
        <w:pStyle w:val="Heading3"/>
        <w:rPr>
          <w:lang w:val="en-GB"/>
        </w:rPr>
      </w:pPr>
      <w:bookmarkStart w:id="18" w:name="_Toc491862486"/>
      <w:r w:rsidRPr="00F32E15">
        <w:rPr>
          <w:lang w:val="en-GB"/>
        </w:rPr>
        <w:lastRenderedPageBreak/>
        <w:t>Helps adults develop other knowledge and skills, not for vocational purposes</w:t>
      </w:r>
      <w:bookmarkEnd w:id="18"/>
    </w:p>
    <w:p w14:paraId="71346256" w14:textId="77777777" w:rsidR="00593700" w:rsidRPr="00F32E15" w:rsidRDefault="00593700" w:rsidP="00593700">
      <w:pPr>
        <w:pStyle w:val="Body"/>
        <w:rPr>
          <w:lang w:val="en-GB"/>
        </w:rPr>
      </w:pPr>
      <w:r w:rsidRPr="00F32E15">
        <w:rPr>
          <w:lang w:val="en-GB"/>
        </w:rPr>
        <w:t>There is a wide range of programmes and activities devoted to adults. These do not provide a formal certification, and are mainly implemented by non-State organisations (profit-making or civil society organisations). They can include social and personal development programmes, non-formal/liberal adult education and informal learning. Owing to the diversity of providers in adult education, it is not possible to find systematised data referring to these forms of provision nor participation of adult learners involved.</w:t>
      </w:r>
    </w:p>
    <w:p w14:paraId="01AD6C4A" w14:textId="77777777" w:rsidR="00593700" w:rsidRPr="00F32E15" w:rsidRDefault="00593700" w:rsidP="00593700">
      <w:pPr>
        <w:pStyle w:val="Body"/>
        <w:rPr>
          <w:lang w:val="en-GB"/>
        </w:rPr>
      </w:pPr>
      <w:r w:rsidRPr="00F32E15">
        <w:rPr>
          <w:lang w:val="en-GB"/>
        </w:rPr>
        <w:t>From these non-State organisations devoted at liberal education, third age universities are noticeable. More than 250 were established in Portugal over the last two decades, and they are members of the national network of third age universities</w:t>
      </w:r>
      <w:r w:rsidRPr="00FB77CE">
        <w:rPr>
          <w:rStyle w:val="FootnoteReference"/>
        </w:rPr>
        <w:footnoteReference w:id="46"/>
      </w:r>
      <w:r w:rsidRPr="00F32E15">
        <w:rPr>
          <w:lang w:val="en-GB"/>
        </w:rPr>
        <w:t>. This network has developed a relevant lobbying effort and obtained the formal State recognition of the work achieved with older learners</w:t>
      </w:r>
      <w:r w:rsidRPr="00FB77CE">
        <w:rPr>
          <w:rStyle w:val="FootnoteReference"/>
        </w:rPr>
        <w:footnoteReference w:id="47"/>
      </w:r>
      <w:r w:rsidRPr="00F32E15">
        <w:rPr>
          <w:lang w:val="en-GB"/>
        </w:rPr>
        <w:t>.</w:t>
      </w:r>
    </w:p>
    <w:p w14:paraId="75200DD9" w14:textId="77777777" w:rsidR="00593700" w:rsidRPr="00F32E15" w:rsidRDefault="00593700" w:rsidP="00F41B98">
      <w:pPr>
        <w:pStyle w:val="Heading3"/>
        <w:rPr>
          <w:lang w:val="en-GB"/>
        </w:rPr>
      </w:pPr>
      <w:bookmarkStart w:id="19" w:name="_Toc491862487"/>
      <w:r w:rsidRPr="00F32E15">
        <w:rPr>
          <w:lang w:val="en-GB"/>
        </w:rPr>
        <w:t>Facilitates Transition to the Labour Market for unemployed people or those at risk of unemployment (ALMPs)</w:t>
      </w:r>
      <w:bookmarkEnd w:id="19"/>
    </w:p>
    <w:p w14:paraId="69C03C29" w14:textId="77777777" w:rsidR="00593700" w:rsidRPr="00F32E15" w:rsidRDefault="00593700" w:rsidP="00593700">
      <w:pPr>
        <w:pStyle w:val="Body"/>
        <w:rPr>
          <w:lang w:val="en-GB"/>
        </w:rPr>
      </w:pPr>
      <w:r w:rsidRPr="00F32E15">
        <w:rPr>
          <w:lang w:val="en-GB"/>
        </w:rPr>
        <w:t>Adult and secondary education such as adult education and training courses can be directed at unemployed people or those at risk of unemployment, in specific the courses that allow a school certification and a professional qualification after attendance (levels 2 to 4 of the national qualification framework). This provision is highly regulated and can be provided by many different organisations, being these State dependant, profit-making or civil society. This form of provision is mainly funded by European Union programmes, such as the European Social Fund.</w:t>
      </w:r>
    </w:p>
    <w:p w14:paraId="0ED0EB41" w14:textId="3A981257" w:rsidR="00593700" w:rsidRPr="00F32E15" w:rsidRDefault="00593700" w:rsidP="00593700">
      <w:pPr>
        <w:pStyle w:val="Body"/>
        <w:rPr>
          <w:lang w:val="en-GB"/>
        </w:rPr>
      </w:pPr>
      <w:r w:rsidRPr="00F32E15">
        <w:rPr>
          <w:lang w:val="en-GB"/>
        </w:rPr>
        <w:t>Vocational education and training for those unemployed or those at risk of unemployment funded by the European Union funding programmes or by the State is highly regulated</w:t>
      </w:r>
      <w:r w:rsidRPr="00FB77CE">
        <w:rPr>
          <w:rStyle w:val="FootnoteReference"/>
        </w:rPr>
        <w:footnoteReference w:id="48"/>
      </w:r>
      <w:r w:rsidRPr="00F32E15">
        <w:rPr>
          <w:lang w:val="en-GB"/>
        </w:rPr>
        <w:t>. Vocational education and training that is state-funded is the responsibility of several State dependant organisations, such as the Institute of Employment and Vocational Education and Training</w:t>
      </w:r>
      <w:r w:rsidRPr="00FB77CE">
        <w:rPr>
          <w:rStyle w:val="FootnoteReference"/>
        </w:rPr>
        <w:footnoteReference w:id="49"/>
      </w:r>
      <w:r w:rsidRPr="00F32E15">
        <w:rPr>
          <w:lang w:val="en-GB"/>
        </w:rPr>
        <w:t>. In what refers to vocational education and training, courses that are the responsibility of the Institute of Employment and Vocational Education and Training can have as target groups long-term unemployed people, unemployed and (in few situations) working-adults. There are also different organisations (profit-making and civil society) that provide vocational education and training. After attendance, adult learners receive a certificate (of a professional kind) but not a school diploma.</w:t>
      </w:r>
    </w:p>
    <w:p w14:paraId="770475D5" w14:textId="77777777" w:rsidR="00593700" w:rsidRPr="00F32E15" w:rsidRDefault="00593700">
      <w:pPr>
        <w:spacing w:after="0"/>
        <w:jc w:val="left"/>
        <w:rPr>
          <w:rFonts w:ascii="Verdana" w:hAnsi="Verdana"/>
          <w:sz w:val="20"/>
          <w:lang w:val="en-GB"/>
        </w:rPr>
      </w:pPr>
      <w:r w:rsidRPr="00F32E15">
        <w:rPr>
          <w:lang w:val="en-GB"/>
        </w:rPr>
        <w:br w:type="page"/>
      </w:r>
    </w:p>
    <w:p w14:paraId="7C38C259" w14:textId="77777777" w:rsidR="00593700" w:rsidRPr="00F32E15" w:rsidRDefault="00593700" w:rsidP="00F41B98">
      <w:pPr>
        <w:pStyle w:val="Heading3"/>
        <w:rPr>
          <w:lang w:val="en-GB"/>
        </w:rPr>
      </w:pPr>
      <w:bookmarkStart w:id="20" w:name="_Toc491862488"/>
      <w:r w:rsidRPr="00F32E15">
        <w:rPr>
          <w:lang w:val="en-GB"/>
        </w:rPr>
        <w:lastRenderedPageBreak/>
        <w:t>Opens up Higher Education to adults</w:t>
      </w:r>
      <w:bookmarkEnd w:id="20"/>
    </w:p>
    <w:p w14:paraId="2884D7E1" w14:textId="77777777" w:rsidR="00593700" w:rsidRPr="00F32E15" w:rsidRDefault="00593700" w:rsidP="00593700">
      <w:pPr>
        <w:pStyle w:val="Body"/>
        <w:rPr>
          <w:lang w:val="en-GB"/>
        </w:rPr>
      </w:pPr>
      <w:r w:rsidRPr="00F32E15">
        <w:rPr>
          <w:lang w:val="en-GB"/>
        </w:rPr>
        <w:t>The opening up of higher education institutions to adult learners within a specific programme in bachelor’s form of provision is a recent occurrence in Portugal. This possibility was established in 2006</w:t>
      </w:r>
      <w:r w:rsidRPr="00A8642C">
        <w:rPr>
          <w:rStyle w:val="FootnoteReference"/>
        </w:rPr>
        <w:footnoteReference w:id="50"/>
      </w:r>
      <w:r w:rsidRPr="00F32E15">
        <w:rPr>
          <w:lang w:val="en-GB"/>
        </w:rPr>
        <w:t xml:space="preserve"> with the setting of procedures to recruit adult learners. After 2014, the Older than 23 programme has been directed at adults with 23 years old or older that did not achieve a traditional school education path, and do not hold already a higher education degree. To apply to a higher education degree (1st cycle - ISCED 5 and 6), learners have to achieve a written essay/exam on a specific scientific discipline. There is also an evaluation of these learners academic and professional CV</w:t>
      </w:r>
      <w:r w:rsidRPr="00A8642C">
        <w:rPr>
          <w:rStyle w:val="FootnoteReference"/>
        </w:rPr>
        <w:footnoteReference w:id="51"/>
      </w:r>
      <w:r w:rsidRPr="00F32E15">
        <w:rPr>
          <w:lang w:val="en-GB"/>
        </w:rPr>
        <w:t>. These learners are called non-traditional students</w:t>
      </w:r>
      <w:r w:rsidRPr="00A8642C">
        <w:rPr>
          <w:rStyle w:val="FootnoteReference"/>
        </w:rPr>
        <w:footnoteReference w:id="52"/>
      </w:r>
      <w:r w:rsidRPr="00F32E15">
        <w:rPr>
          <w:lang w:val="en-GB"/>
        </w:rPr>
        <w:t>.</w:t>
      </w:r>
    </w:p>
    <w:p w14:paraId="0B5A9CD9" w14:textId="77777777" w:rsidR="00593700" w:rsidRPr="00F32E15" w:rsidRDefault="00593700" w:rsidP="00593700">
      <w:pPr>
        <w:pStyle w:val="Body"/>
        <w:rPr>
          <w:lang w:val="en-GB"/>
        </w:rPr>
      </w:pPr>
      <w:r w:rsidRPr="00F32E15">
        <w:rPr>
          <w:lang w:val="en-GB"/>
        </w:rPr>
        <w:t>Validation of non-formal and informal learning can also be obtained by learners when enrolled in higher education degrees. Evaluation of these learners academic and professional CV is made by a jury, depending on rules set by each higher education institution</w:t>
      </w:r>
      <w:r w:rsidRPr="00A8642C">
        <w:rPr>
          <w:rStyle w:val="FootnoteReference"/>
        </w:rPr>
        <w:footnoteReference w:id="53"/>
      </w:r>
      <w:r w:rsidRPr="00F32E15">
        <w:rPr>
          <w:lang w:val="en-GB"/>
        </w:rPr>
        <w:t>.</w:t>
      </w:r>
    </w:p>
    <w:p w14:paraId="2E3FD699" w14:textId="6AB127E9" w:rsidR="005368A5" w:rsidRPr="00F32E15" w:rsidRDefault="00593700" w:rsidP="00593700">
      <w:pPr>
        <w:pStyle w:val="Body"/>
        <w:rPr>
          <w:lang w:val="en-GB"/>
        </w:rPr>
      </w:pPr>
      <w:r w:rsidRPr="00F32E15">
        <w:rPr>
          <w:lang w:val="en-GB"/>
        </w:rPr>
        <w:t>Professional technical courses, a short cycle tertiary education allowing a professional technician diploma (level 5 of the national qualification framework), are also available at higher education institutions for people older than 18 years.</w:t>
      </w:r>
    </w:p>
    <w:p w14:paraId="0E03DDFC" w14:textId="77777777" w:rsidR="00593700" w:rsidRPr="00F32E15" w:rsidRDefault="00593700" w:rsidP="00F41B98">
      <w:pPr>
        <w:pStyle w:val="Heading3"/>
        <w:rPr>
          <w:lang w:val="en-GB"/>
        </w:rPr>
      </w:pPr>
      <w:bookmarkStart w:id="21" w:name="_Toc491862489"/>
      <w:r w:rsidRPr="00F32E15">
        <w:rPr>
          <w:lang w:val="en-GB"/>
        </w:rPr>
        <w:t>Enables adult employees to develop their work-related skills</w:t>
      </w:r>
      <w:bookmarkEnd w:id="21"/>
    </w:p>
    <w:p w14:paraId="4567CAF6" w14:textId="77777777" w:rsidR="00593700" w:rsidRPr="00F32E15" w:rsidRDefault="00593700" w:rsidP="00593700">
      <w:pPr>
        <w:pStyle w:val="Body"/>
        <w:rPr>
          <w:lang w:val="en-GB"/>
        </w:rPr>
      </w:pPr>
      <w:r w:rsidRPr="00F32E15">
        <w:rPr>
          <w:lang w:val="en-GB"/>
        </w:rPr>
        <w:t>Medium or large enterprises may have a specific department devoted at developing vocational education and training programmes for existing workers. This provision might be regulated, where the regulations are due to the fact this provision is certified. In general, this provision aims at answering to enterprises needs and problems.</w:t>
      </w:r>
    </w:p>
    <w:p w14:paraId="39E224F8" w14:textId="77777777" w:rsidR="00593700" w:rsidRPr="00F32E15" w:rsidRDefault="00593700" w:rsidP="00593700">
      <w:pPr>
        <w:pStyle w:val="Body"/>
        <w:rPr>
          <w:lang w:val="en-GB"/>
        </w:rPr>
      </w:pPr>
      <w:r w:rsidRPr="00F32E15">
        <w:rPr>
          <w:lang w:val="en-GB"/>
        </w:rPr>
        <w:t>Private providers and employers play a relevant role in adult education by promoting vocational education and training, namely in enterprises that have 10 or more employees</w:t>
      </w:r>
      <w:r w:rsidRPr="004557F8">
        <w:rPr>
          <w:rStyle w:val="FootnoteReference"/>
        </w:rPr>
        <w:footnoteReference w:id="54"/>
      </w:r>
      <w:r w:rsidRPr="00F32E15">
        <w:rPr>
          <w:lang w:val="en-GB"/>
        </w:rPr>
        <w:t xml:space="preserve">. In some large enterprises, employers may have programmes to support the development of their workers work-related skills in higher education institutions or others. Private providers and employers may develop vocational educational and training funded by the European Union programmes or State funding programmes after application. This </w:t>
      </w:r>
      <w:r w:rsidRPr="00F32E15">
        <w:rPr>
          <w:lang w:val="en-GB"/>
        </w:rPr>
        <w:lastRenderedPageBreak/>
        <w:t>provision is generally highly regulated. Medium or large enterprises may have a specific department devoted to developing vocational education and training programmes for existing workers. This provision might be regulated; these regulations are very much dependent upon enterprises rules.</w:t>
      </w:r>
    </w:p>
    <w:p w14:paraId="33B1239F" w14:textId="77777777" w:rsidR="00593700" w:rsidRPr="00F32E15" w:rsidRDefault="00593700" w:rsidP="00593700">
      <w:pPr>
        <w:pStyle w:val="Body"/>
        <w:rPr>
          <w:lang w:val="en-GB"/>
        </w:rPr>
      </w:pPr>
      <w:r w:rsidRPr="00F32E15">
        <w:rPr>
          <w:lang w:val="en-GB"/>
        </w:rPr>
        <w:t>According to Gabinete de Estratégia e Planeamento/Ministério do Trabalho, Solidariedade e Segurança (2017), in 2015, 895,849 workers were involved in vocational education and training courses, mainly people working in electricity, gas and water suppliers, as well as the ones in financial and assurance enterprises. A significant number of these courses approached contents concerning hygiene and work safety</w:t>
      </w:r>
      <w:r w:rsidRPr="004557F8">
        <w:rPr>
          <w:rStyle w:val="FootnoteReference"/>
        </w:rPr>
        <w:footnoteReference w:id="55"/>
      </w:r>
      <w:r w:rsidRPr="00F32E15">
        <w:rPr>
          <w:lang w:val="en-GB"/>
        </w:rPr>
        <w:t>.</w:t>
      </w:r>
    </w:p>
    <w:p w14:paraId="7972F5A1" w14:textId="77777777" w:rsidR="00593700" w:rsidRPr="00316D8F" w:rsidRDefault="00593700" w:rsidP="00F41B98">
      <w:pPr>
        <w:pStyle w:val="Heading3"/>
      </w:pPr>
      <w:bookmarkStart w:id="22" w:name="_Toc491862490"/>
      <w:r w:rsidRPr="00316D8F">
        <w:t>Other (if any)</w:t>
      </w:r>
      <w:bookmarkEnd w:id="22"/>
    </w:p>
    <w:p w14:paraId="4A4622BD" w14:textId="4E3A5A8B" w:rsidR="00593700" w:rsidRDefault="00593700" w:rsidP="00593700">
      <w:pPr>
        <w:pStyle w:val="Body"/>
      </w:pPr>
      <w:r w:rsidRPr="00316D8F">
        <w:t>No other considerations.</w:t>
      </w:r>
    </w:p>
    <w:p w14:paraId="2FB054F3" w14:textId="77777777" w:rsidR="00593700" w:rsidRDefault="00593700">
      <w:pPr>
        <w:spacing w:after="0"/>
        <w:jc w:val="left"/>
        <w:rPr>
          <w:rFonts w:ascii="Verdana" w:hAnsi="Verdana"/>
          <w:sz w:val="20"/>
        </w:rPr>
      </w:pPr>
      <w:r>
        <w:br w:type="page"/>
      </w:r>
    </w:p>
    <w:p w14:paraId="3DF048F7" w14:textId="77777777" w:rsidR="00593700" w:rsidRPr="005838F2" w:rsidRDefault="00593700" w:rsidP="00324DC2">
      <w:pPr>
        <w:pStyle w:val="Heading1"/>
        <w:keepNext w:val="0"/>
        <w:pageBreakBefore/>
        <w:numPr>
          <w:ilvl w:val="0"/>
          <w:numId w:val="24"/>
        </w:numPr>
        <w:tabs>
          <w:tab w:val="clear" w:pos="1134"/>
          <w:tab w:val="left" w:pos="851"/>
        </w:tabs>
        <w:spacing w:before="0" w:after="360" w:line="288" w:lineRule="auto"/>
        <w:ind w:left="851" w:hanging="851"/>
      </w:pPr>
      <w:bookmarkStart w:id="23" w:name="_Toc491862491"/>
      <w:r w:rsidRPr="005838F2">
        <w:lastRenderedPageBreak/>
        <w:t>Adult Learning Policies</w:t>
      </w:r>
      <w:bookmarkEnd w:id="23"/>
      <w:r w:rsidRPr="005838F2">
        <w:t xml:space="preserve"> </w:t>
      </w:r>
    </w:p>
    <w:p w14:paraId="462C10BC" w14:textId="77777777" w:rsidR="00593700" w:rsidRPr="005838F2" w:rsidRDefault="00593700" w:rsidP="00F41B98">
      <w:pPr>
        <w:pStyle w:val="Heading2"/>
      </w:pPr>
      <w:bookmarkStart w:id="24" w:name="_Toc491862492"/>
      <w:r w:rsidRPr="005838F2">
        <w:t>Context</w:t>
      </w:r>
      <w:bookmarkEnd w:id="24"/>
    </w:p>
    <w:p w14:paraId="238AD072" w14:textId="77777777" w:rsidR="00593700" w:rsidRPr="00F32E15" w:rsidRDefault="00593700" w:rsidP="00593700">
      <w:pPr>
        <w:pStyle w:val="Body"/>
        <w:rPr>
          <w:lang w:val="en-GB"/>
        </w:rPr>
      </w:pPr>
      <w:r w:rsidRPr="00F32E15">
        <w:rPr>
          <w:lang w:val="en-GB"/>
        </w:rPr>
        <w:t>Portugal has had a lifelong learning strategy in place since the late 1990s, very much linked to the European Union guidelines for lifelong learning. Its scope emphasises the link between adult education and economic development, the need for increasing adult education participation rates in lifelong learning, and forms of provision centred on the learners such as recognition of prior learning and adult education and training courses.</w:t>
      </w:r>
    </w:p>
    <w:p w14:paraId="1F6B5838" w14:textId="251FC758" w:rsidR="00C738F4" w:rsidRPr="00F32E15" w:rsidRDefault="00593700" w:rsidP="00593700">
      <w:pPr>
        <w:pStyle w:val="Body"/>
        <w:rPr>
          <w:lang w:val="en-GB"/>
        </w:rPr>
      </w:pPr>
      <w:r w:rsidRPr="00F32E15">
        <w:rPr>
          <w:lang w:val="en-GB"/>
        </w:rPr>
        <w:t>The position of the different Governments (namely Socialist Governments</w:t>
      </w:r>
      <w:r w:rsidRPr="005838F2">
        <w:rPr>
          <w:rStyle w:val="FootnoteReference"/>
        </w:rPr>
        <w:footnoteReference w:id="56"/>
      </w:r>
      <w:r w:rsidRPr="00F32E15">
        <w:rPr>
          <w:lang w:val="en-GB"/>
        </w:rPr>
        <w:t>) expressed in policy documents since the late 1990s showed a significant change in adult education policies. The urgent need of the Portuguese economy to react to changing conditions in the European Union and the global economy was presented as a justification for having an adult education policy</w:t>
      </w:r>
      <w:r w:rsidRPr="005838F2">
        <w:rPr>
          <w:rStyle w:val="FootnoteReference"/>
        </w:rPr>
        <w:footnoteReference w:id="57"/>
      </w:r>
      <w:r w:rsidRPr="00F32E15">
        <w:rPr>
          <w:lang w:val="en-GB"/>
        </w:rPr>
        <w:t xml:space="preserve"> that highlights the link between adult education and economic development</w:t>
      </w:r>
      <w:r w:rsidRPr="005838F2">
        <w:rPr>
          <w:rStyle w:val="FootnoteReference"/>
        </w:rPr>
        <w:footnoteReference w:id="58"/>
      </w:r>
      <w:r w:rsidRPr="00F32E15">
        <w:rPr>
          <w:lang w:val="en-GB"/>
        </w:rPr>
        <w:t>. This was followed by an enthusiastic discourse concerning the impact of increasing rates of adult education and training participation in economy</w:t>
      </w:r>
      <w:r w:rsidRPr="005838F2">
        <w:rPr>
          <w:rStyle w:val="FootnoteReference"/>
        </w:rPr>
        <w:footnoteReference w:id="59"/>
      </w:r>
      <w:r w:rsidRPr="00F32E15">
        <w:rPr>
          <w:lang w:val="en-GB"/>
        </w:rPr>
        <w:t>. The national strategic reference frameworks and adult education national policies expressed an optimistic understanding of the referred link and reinforced the urgent need of increasing the Portuguese economic competitiveness through the raise of workers’ skills</w:t>
      </w:r>
      <w:r w:rsidRPr="005838F2">
        <w:rPr>
          <w:rStyle w:val="FootnoteReference"/>
        </w:rPr>
        <w:footnoteReference w:id="60"/>
      </w:r>
      <w:r w:rsidRPr="00F32E15">
        <w:rPr>
          <w:lang w:val="en-GB"/>
        </w:rPr>
        <w:t xml:space="preserve">. </w:t>
      </w:r>
    </w:p>
    <w:p w14:paraId="730D8B87" w14:textId="77777777" w:rsidR="00C738F4" w:rsidRPr="00F32E15" w:rsidRDefault="00C738F4" w:rsidP="00F41B98">
      <w:pPr>
        <w:pStyle w:val="Heading3"/>
        <w:rPr>
          <w:lang w:val="en-GB"/>
        </w:rPr>
      </w:pPr>
      <w:bookmarkStart w:id="25" w:name="_Toc491862493"/>
      <w:r w:rsidRPr="00F32E15">
        <w:rPr>
          <w:lang w:val="en-GB"/>
        </w:rPr>
        <w:t>Distribution of responsibilities regarding adult learning</w:t>
      </w:r>
      <w:bookmarkEnd w:id="25"/>
    </w:p>
    <w:p w14:paraId="69AEB419" w14:textId="77777777" w:rsidR="00C738F4" w:rsidRPr="00F32E15" w:rsidRDefault="00C738F4" w:rsidP="00C738F4">
      <w:pPr>
        <w:pStyle w:val="Body"/>
        <w:rPr>
          <w:lang w:val="en-GB"/>
        </w:rPr>
      </w:pPr>
      <w:r w:rsidRPr="00F32E15">
        <w:rPr>
          <w:lang w:val="en-GB"/>
        </w:rPr>
        <w:t>The national agency for qualification and vocational education and training</w:t>
      </w:r>
      <w:r w:rsidRPr="00551F84">
        <w:rPr>
          <w:rStyle w:val="FootnoteReference"/>
        </w:rPr>
        <w:footnoteReference w:id="61"/>
      </w:r>
      <w:r w:rsidRPr="00F32E15">
        <w:rPr>
          <w:lang w:val="en-GB"/>
        </w:rPr>
        <w:t xml:space="preserve"> is dependant from two ministries, the Ministry of Education and the Ministry of Work, Solidarity and Social Security, in articulation with the Ministry of Economy. It coordinates the implementation of adult education policies and the development of different forms of provision, such as recognition of prior learning, adult education and training courses and modular training. It also monitors the work implemented by the Qualify centres created in the realm of the Qualify programme, evaluates provision, develops and updates provision </w:t>
      </w:r>
      <w:r w:rsidRPr="00F32E15">
        <w:rPr>
          <w:lang w:val="en-GB"/>
        </w:rPr>
        <w:lastRenderedPageBreak/>
        <w:t>standards following the national catalogue of qualifications and changes in the labour market.</w:t>
      </w:r>
    </w:p>
    <w:p w14:paraId="30C70501" w14:textId="748FA87F" w:rsidR="00593700" w:rsidRPr="00F32E15" w:rsidRDefault="00C738F4" w:rsidP="00593700">
      <w:pPr>
        <w:pStyle w:val="Body"/>
        <w:rPr>
          <w:lang w:val="en-GB"/>
        </w:rPr>
      </w:pPr>
      <w:r w:rsidRPr="00F32E15">
        <w:rPr>
          <w:lang w:val="en-GB"/>
        </w:rPr>
        <w:t>The Qualify centres are local State-funded structures, strongly regulated and controlled in existing provision. These centres are established after formal application and for a short, specific period of time (three years)</w:t>
      </w:r>
      <w:r w:rsidRPr="00551F84">
        <w:rPr>
          <w:rStyle w:val="FootnoteReference"/>
        </w:rPr>
        <w:footnoteReference w:id="62"/>
      </w:r>
      <w:r w:rsidRPr="00F32E15">
        <w:rPr>
          <w:lang w:val="en-GB"/>
        </w:rPr>
        <w:t xml:space="preserve">. </w:t>
      </w:r>
    </w:p>
    <w:p w14:paraId="04F089DF" w14:textId="77777777" w:rsidR="00C738F4" w:rsidRPr="00F32E15" w:rsidRDefault="00C738F4" w:rsidP="00C738F4">
      <w:pPr>
        <w:pStyle w:val="Body"/>
        <w:rPr>
          <w:lang w:val="en-GB"/>
        </w:rPr>
      </w:pPr>
      <w:r w:rsidRPr="00F32E15">
        <w:rPr>
          <w:lang w:val="en-GB"/>
        </w:rPr>
        <w:t>Forms of provision such as recognition of prior learning and adult education and training courses that lead to dual certification (school certification and professional qualification) include a vocational education and training component.</w:t>
      </w:r>
    </w:p>
    <w:p w14:paraId="1AE5D6FA" w14:textId="77777777" w:rsidR="00C738F4" w:rsidRPr="00F32E15" w:rsidRDefault="00C738F4" w:rsidP="00C738F4">
      <w:pPr>
        <w:pStyle w:val="Body"/>
        <w:rPr>
          <w:lang w:val="en-GB"/>
        </w:rPr>
      </w:pPr>
      <w:r w:rsidRPr="00F32E15">
        <w:rPr>
          <w:lang w:val="en-GB"/>
        </w:rPr>
        <w:t>Departments of the Ministry of Education are responsible for the development of formal second-chance education.</w:t>
      </w:r>
    </w:p>
    <w:p w14:paraId="7E74F9AD" w14:textId="77777777" w:rsidR="00C738F4" w:rsidRPr="00F32E15" w:rsidRDefault="00C738F4" w:rsidP="00C738F4">
      <w:pPr>
        <w:pStyle w:val="Body"/>
        <w:rPr>
          <w:lang w:val="en-GB"/>
        </w:rPr>
      </w:pPr>
      <w:r w:rsidRPr="00F32E15">
        <w:rPr>
          <w:lang w:val="en-GB"/>
        </w:rPr>
        <w:t>Vocational education and training programmes directed at unemployed or employed adults, of short, medium or long-term duration leading to a professional qualification are implemented by the institute of employment and vocational training dependant from the Ministry of Work, Solidarity and Social Security among other providers.</w:t>
      </w:r>
    </w:p>
    <w:p w14:paraId="689B5F47" w14:textId="1CA16D48" w:rsidR="00C738F4" w:rsidRPr="00F32E15" w:rsidRDefault="00C738F4" w:rsidP="00C738F4">
      <w:pPr>
        <w:pStyle w:val="Body"/>
        <w:rPr>
          <w:lang w:val="en-GB"/>
        </w:rPr>
      </w:pPr>
      <w:r w:rsidRPr="00F32E15">
        <w:rPr>
          <w:lang w:val="en-GB"/>
        </w:rPr>
        <w:t>Higher education forms of provision directed at adult learners (such as the Older than 23 programme, validation of non-formal and informal learning, and professional technical courses) are regulated by the Ministry of Science, Technology and Higher Education.</w:t>
      </w:r>
    </w:p>
    <w:p w14:paraId="78BB20FB" w14:textId="77777777" w:rsidR="00C738F4" w:rsidRPr="00F32E15" w:rsidRDefault="00C738F4" w:rsidP="00F41B98">
      <w:pPr>
        <w:pStyle w:val="Heading3"/>
        <w:rPr>
          <w:lang w:val="en-GB"/>
        </w:rPr>
      </w:pPr>
      <w:bookmarkStart w:id="26" w:name="_Toc491862494"/>
      <w:r w:rsidRPr="00F32E15">
        <w:rPr>
          <w:lang w:val="en-GB"/>
        </w:rPr>
        <w:t>Major national socio-economic strategies governing the provision of Adult Learning</w:t>
      </w:r>
      <w:bookmarkEnd w:id="26"/>
    </w:p>
    <w:p w14:paraId="3DED3EBC" w14:textId="77777777" w:rsidR="00C738F4" w:rsidRPr="00F32E15" w:rsidRDefault="00C738F4" w:rsidP="00C738F4">
      <w:pPr>
        <w:pStyle w:val="Body"/>
        <w:rPr>
          <w:lang w:val="en-GB"/>
        </w:rPr>
      </w:pPr>
      <w:r w:rsidRPr="00F32E15">
        <w:rPr>
          <w:lang w:val="en-GB"/>
        </w:rPr>
        <w:t>After 2005, the New opportunities programme emphasised the need for economic and education convergence with more developed countries. This programme aimed to broaden the participation of working people and small- and medium-sized enterprises in the skills improvement process. Additionally, there has been a concern of guaranteeing adult education as a social right, with extended access, and to be based on priorities of economic modernisation through the development of knowledge and skills useful to the economy. For this purpose, recognition of prior learning became a central provision involving goals for adaptation and retraining workers to encourage economic growth and increase productivity and competitiveness.</w:t>
      </w:r>
    </w:p>
    <w:p w14:paraId="518C8E62" w14:textId="77777777" w:rsidR="00C738F4" w:rsidRPr="00F32E15" w:rsidRDefault="00C738F4" w:rsidP="00C738F4">
      <w:pPr>
        <w:pStyle w:val="Body"/>
        <w:rPr>
          <w:lang w:val="en-GB"/>
        </w:rPr>
      </w:pPr>
      <w:r w:rsidRPr="00F32E15">
        <w:rPr>
          <w:lang w:val="en-GB"/>
        </w:rPr>
        <w:t>The adoption of the national qualification framework</w:t>
      </w:r>
      <w:r w:rsidRPr="00BA422B">
        <w:rPr>
          <w:rStyle w:val="FootnoteReference"/>
        </w:rPr>
        <w:footnoteReference w:id="63"/>
      </w:r>
      <w:r w:rsidRPr="00F32E15">
        <w:rPr>
          <w:lang w:val="en-GB"/>
        </w:rPr>
        <w:t xml:space="preserve"> related in content and structure to the European Qualification Framework in 2009, is in line with European Union guidelines. </w:t>
      </w:r>
    </w:p>
    <w:p w14:paraId="183F2882" w14:textId="77777777" w:rsidR="00C738F4" w:rsidRPr="00F32E15" w:rsidRDefault="00C738F4" w:rsidP="00C738F4">
      <w:pPr>
        <w:pStyle w:val="Body"/>
        <w:rPr>
          <w:lang w:val="en-GB"/>
        </w:rPr>
      </w:pPr>
      <w:r w:rsidRPr="00F32E15">
        <w:rPr>
          <w:lang w:val="en-GB"/>
        </w:rPr>
        <w:t>After 2007, there was a strong increase in the provision of adult education, and up until 2011 the participation figures of adults were the highest ever seen. An increase in adult appreciation of both formal and non-formal adult education and training occurred by 2011</w:t>
      </w:r>
      <w:r w:rsidRPr="00BA422B">
        <w:rPr>
          <w:rStyle w:val="FootnoteReference"/>
        </w:rPr>
        <w:footnoteReference w:id="64"/>
      </w:r>
      <w:r w:rsidRPr="00F32E15">
        <w:rPr>
          <w:lang w:val="en-GB"/>
        </w:rPr>
        <w:t xml:space="preserve">. The European Social Fund has funded forms of provision (from 2007 to 2013 75% </w:t>
      </w:r>
      <w:r w:rsidRPr="00F32E15">
        <w:rPr>
          <w:lang w:val="en-GB"/>
        </w:rPr>
        <w:lastRenderedPageBreak/>
        <w:t>from the European Social Fund and 25% from the State budget; from 2014 to 2020 85% from the European Social Fund and 15% from State budget), which reinforces the strong link between the European Union and the adult education policy</w:t>
      </w:r>
      <w:r w:rsidRPr="00BA422B">
        <w:rPr>
          <w:rStyle w:val="FootnoteReference"/>
        </w:rPr>
        <w:footnoteReference w:id="65"/>
      </w:r>
      <w:r w:rsidRPr="00F32E15">
        <w:rPr>
          <w:lang w:val="en-GB"/>
        </w:rPr>
        <w:t>.</w:t>
      </w:r>
    </w:p>
    <w:p w14:paraId="4A01D413" w14:textId="77777777" w:rsidR="00C738F4" w:rsidRPr="00F32E15" w:rsidRDefault="00C738F4" w:rsidP="00C738F4">
      <w:pPr>
        <w:pStyle w:val="Body"/>
        <w:rPr>
          <w:lang w:val="en-GB"/>
        </w:rPr>
      </w:pPr>
      <w:r w:rsidRPr="00F32E15">
        <w:rPr>
          <w:lang w:val="en-GB"/>
        </w:rPr>
        <w:t>Following a similar pattern, vocational education and training, supported by the European Social Fund, by private enterprises or by larger companies, has grown in terms of total numbers of activities implemented and participants benefiting</w:t>
      </w:r>
      <w:r w:rsidRPr="00BA422B">
        <w:rPr>
          <w:rStyle w:val="FootnoteReference"/>
        </w:rPr>
        <w:footnoteReference w:id="66"/>
      </w:r>
      <w:r w:rsidRPr="00F32E15">
        <w:rPr>
          <w:lang w:val="en-GB"/>
        </w:rPr>
        <w:t xml:space="preserve"> in the last decade.</w:t>
      </w:r>
    </w:p>
    <w:p w14:paraId="4331B65E" w14:textId="2C44B158" w:rsidR="00C738F4" w:rsidRPr="00F32E15" w:rsidRDefault="00C738F4" w:rsidP="00C738F4">
      <w:pPr>
        <w:pStyle w:val="Body"/>
        <w:rPr>
          <w:lang w:val="en-GB"/>
        </w:rPr>
      </w:pPr>
      <w:r w:rsidRPr="00F32E15">
        <w:rPr>
          <w:lang w:val="en-GB"/>
        </w:rPr>
        <w:t>After 2012, under the structural adjustment policies, the Government suspended the adult education policy. In 2014 centres for qualification and vocational education and training were established. However they did not have significant funding and were not able to hire adult educators. This policy was re-launched in 2016 based on the same aims, forms of provision and State departments in charge for its implementation. But this policy involves less funding as well as less adult educators hired, and adults enrolled and certified, up to the present time.</w:t>
      </w:r>
    </w:p>
    <w:p w14:paraId="2FA78A77" w14:textId="77777777" w:rsidR="00C738F4" w:rsidRPr="002D1640" w:rsidRDefault="00C738F4" w:rsidP="00F41B98">
      <w:pPr>
        <w:pStyle w:val="Heading2"/>
      </w:pPr>
      <w:bookmarkStart w:id="27" w:name="_Toc491862495"/>
      <w:r w:rsidRPr="002D1640">
        <w:t>Adult learning policy framework</w:t>
      </w:r>
      <w:bookmarkEnd w:id="27"/>
    </w:p>
    <w:p w14:paraId="4977C8AD" w14:textId="77777777" w:rsidR="00C738F4" w:rsidRPr="00F32E15" w:rsidRDefault="00C738F4" w:rsidP="00F41B98">
      <w:pPr>
        <w:pStyle w:val="Heading3"/>
        <w:rPr>
          <w:lang w:val="en-GB"/>
        </w:rPr>
      </w:pPr>
      <w:bookmarkStart w:id="28" w:name="_Toc491862496"/>
      <w:r w:rsidRPr="00F32E15">
        <w:rPr>
          <w:lang w:val="en-GB"/>
        </w:rPr>
        <w:t>A summary of major developments/ changes since 2010</w:t>
      </w:r>
      <w:bookmarkEnd w:id="28"/>
    </w:p>
    <w:p w14:paraId="135A7FB3" w14:textId="77777777" w:rsidR="00C738F4" w:rsidRPr="00F32E15" w:rsidRDefault="00C738F4" w:rsidP="00C738F4">
      <w:pPr>
        <w:pStyle w:val="Body"/>
        <w:rPr>
          <w:lang w:val="en-GB"/>
        </w:rPr>
      </w:pPr>
      <w:r w:rsidRPr="00F32E15">
        <w:rPr>
          <w:lang w:val="en-GB"/>
        </w:rPr>
        <w:t>After 2005, the New Opportunities programme was adopted. Within this programme, forms of provision such as recognition of prior learning, and adult education and training courses were stressed. Due to the establishment of around 450 local education centres spread all over the country, and the hiring of around 10,000 adult educators, there was a very noticeable increase of adults enrolled and certified especially through the recognition of prior learning</w:t>
      </w:r>
      <w:r w:rsidRPr="002D1640">
        <w:rPr>
          <w:rStyle w:val="FootnoteReference"/>
        </w:rPr>
        <w:footnoteReference w:id="67"/>
      </w:r>
      <w:r w:rsidRPr="00F32E15">
        <w:rPr>
          <w:lang w:val="en-GB"/>
        </w:rPr>
        <w:t>. The suspension of adult education policy in 2011 led to a significant decrease of enrolled adults (as illustrated by Table 3.1). It was only in 2014/2015 that new developments occurred with the establishment of a national network of centres for qualification and vocational education and training</w:t>
      </w:r>
      <w:r w:rsidRPr="002D1640">
        <w:rPr>
          <w:rStyle w:val="FootnoteReference"/>
        </w:rPr>
        <w:footnoteReference w:id="68"/>
      </w:r>
      <w:r w:rsidRPr="00F32E15">
        <w:rPr>
          <w:lang w:val="en-GB"/>
        </w:rPr>
        <w:t>. This national network led to a recovery of the number of adults enrolled in recognition of prior learning as well as in adult education and training.</w:t>
      </w:r>
    </w:p>
    <w:p w14:paraId="11E1AA41" w14:textId="77777777" w:rsidR="00C738F4" w:rsidRPr="00F32E15" w:rsidRDefault="00C738F4" w:rsidP="00C738F4">
      <w:pPr>
        <w:pStyle w:val="Body"/>
        <w:rPr>
          <w:lang w:val="en-GB"/>
        </w:rPr>
      </w:pPr>
      <w:r w:rsidRPr="00F32E15">
        <w:rPr>
          <w:lang w:val="en-GB"/>
        </w:rPr>
        <w:t xml:space="preserve">Table 3.1 shows adult learners enrolled in public forms of provision, such as: basic and secondary education; adult education and training courses; recognition of prior learning; and formal second-chance education and modular training).In recognition of prior learning there was an increase from 2007 to 2008-2009/2009-2010. 2008/2009 was the year in which most adult learners were enrolled (208,120). After 2010/2011 up until 2013/2014 there was a significant decrease that stopped in 2014/2015 (24,498 adult learners). </w:t>
      </w:r>
      <w:r w:rsidRPr="00F32E15">
        <w:rPr>
          <w:lang w:val="en-GB"/>
        </w:rPr>
        <w:lastRenderedPageBreak/>
        <w:t>2015/2016 was again a year with a smaller number. A similar trend can be observed in adult education and training courses: in 2008/2009, 152,175 adult learners were enrolled; from then up until 2013/2014 there was a clear decrease; in 2014/2015, a recovery was noticed, but this recovery was not observed in 2015/2016.</w:t>
      </w:r>
    </w:p>
    <w:p w14:paraId="194D4A3F" w14:textId="77777777" w:rsidR="00C738F4" w:rsidRPr="00F32E15" w:rsidRDefault="00C738F4" w:rsidP="00C738F4">
      <w:pPr>
        <w:pStyle w:val="Body"/>
        <w:rPr>
          <w:lang w:val="en-GB"/>
        </w:rPr>
      </w:pPr>
      <w:r w:rsidRPr="00F32E15">
        <w:rPr>
          <w:lang w:val="en-GB"/>
        </w:rPr>
        <w:t>In what refers to formal second-chance education, there was a constant decrease from 2007/2008 to 2011/2012. This trend was inverted after 2012/2013 when recognition of prior learning and adult education and training courses observed lowest enrolment numbers.</w:t>
      </w:r>
    </w:p>
    <w:p w14:paraId="45260311" w14:textId="5284BD58" w:rsidR="007C74C8" w:rsidRPr="00F32E15" w:rsidRDefault="00C738F4" w:rsidP="00C738F4">
      <w:pPr>
        <w:pStyle w:val="Body"/>
        <w:rPr>
          <w:lang w:val="en-GB"/>
        </w:rPr>
      </w:pPr>
      <w:r w:rsidRPr="00F32E15">
        <w:rPr>
          <w:lang w:val="en-GB"/>
        </w:rPr>
        <w:t>Modular training courses had higher numbers of enrolments from 2009/2010 to 2011/2012; however since then a clear decrease was noticed.</w:t>
      </w:r>
    </w:p>
    <w:p w14:paraId="5C7A5253" w14:textId="77777777" w:rsidR="007C74C8" w:rsidRPr="00F32E15" w:rsidRDefault="007C74C8" w:rsidP="007C74C8">
      <w:pPr>
        <w:pStyle w:val="BodyText"/>
        <w:rPr>
          <w:b/>
          <w:lang w:val="en-GB"/>
        </w:rPr>
      </w:pPr>
      <w:r w:rsidRPr="00F32E15">
        <w:rPr>
          <w:b/>
          <w:lang w:val="en-GB"/>
        </w:rPr>
        <w:t xml:space="preserve">Table </w:t>
      </w:r>
      <w:r w:rsidRPr="007C74C8">
        <w:rPr>
          <w:b/>
        </w:rPr>
        <w:fldChar w:fldCharType="begin"/>
      </w:r>
      <w:r w:rsidRPr="00F32E15">
        <w:rPr>
          <w:b/>
          <w:lang w:val="en-GB"/>
        </w:rPr>
        <w:instrText xml:space="preserve"> STYLEREF 1 \s </w:instrText>
      </w:r>
      <w:r w:rsidRPr="007C74C8">
        <w:rPr>
          <w:b/>
        </w:rPr>
        <w:fldChar w:fldCharType="separate"/>
      </w:r>
      <w:r w:rsidRPr="00F32E15">
        <w:rPr>
          <w:b/>
          <w:lang w:val="en-GB"/>
        </w:rPr>
        <w:t>3</w:t>
      </w:r>
      <w:r w:rsidRPr="007C74C8">
        <w:rPr>
          <w:b/>
        </w:rPr>
        <w:fldChar w:fldCharType="end"/>
      </w:r>
      <w:r w:rsidRPr="00F32E15">
        <w:rPr>
          <w:b/>
          <w:lang w:val="en-GB"/>
        </w:rPr>
        <w:t>.</w:t>
      </w:r>
      <w:r w:rsidRPr="007C74C8">
        <w:rPr>
          <w:b/>
        </w:rPr>
        <w:fldChar w:fldCharType="begin"/>
      </w:r>
      <w:r w:rsidRPr="00F32E15">
        <w:rPr>
          <w:b/>
          <w:lang w:val="en-GB"/>
        </w:rPr>
        <w:instrText xml:space="preserve"> SEQ Table \* ARABIC \s 1 </w:instrText>
      </w:r>
      <w:r w:rsidRPr="007C74C8">
        <w:rPr>
          <w:b/>
        </w:rPr>
        <w:fldChar w:fldCharType="separate"/>
      </w:r>
      <w:r w:rsidRPr="00F32E15">
        <w:rPr>
          <w:b/>
          <w:lang w:val="en-GB"/>
        </w:rPr>
        <w:t>1</w:t>
      </w:r>
      <w:r w:rsidRPr="007C74C8">
        <w:rPr>
          <w:b/>
        </w:rPr>
        <w:fldChar w:fldCharType="end"/>
      </w:r>
      <w:r w:rsidRPr="00F32E15">
        <w:rPr>
          <w:b/>
          <w:lang w:val="en-GB"/>
        </w:rPr>
        <w:t xml:space="preserve">  Adult learners enrolled in public forms of provision from 2007 to 2015-16</w:t>
      </w:r>
      <w:r w:rsidRPr="007C74C8">
        <w:rPr>
          <w:rStyle w:val="FootnoteReference"/>
          <w:b/>
        </w:rPr>
        <w:footnoteReference w:id="69"/>
      </w:r>
    </w:p>
    <w:tbl>
      <w:tblPr>
        <w:tblStyle w:val="ecTable"/>
        <w:tblW w:w="5000" w:type="pct"/>
        <w:tblLayout w:type="fixed"/>
        <w:tblLook w:val="0420" w:firstRow="1" w:lastRow="0" w:firstColumn="0" w:lastColumn="0" w:noHBand="0" w:noVBand="1"/>
      </w:tblPr>
      <w:tblGrid>
        <w:gridCol w:w="1131"/>
        <w:gridCol w:w="891"/>
        <w:gridCol w:w="792"/>
        <w:gridCol w:w="906"/>
        <w:gridCol w:w="906"/>
        <w:gridCol w:w="906"/>
        <w:gridCol w:w="906"/>
        <w:gridCol w:w="906"/>
        <w:gridCol w:w="793"/>
        <w:gridCol w:w="859"/>
      </w:tblGrid>
      <w:tr w:rsidR="007C74C8" w:rsidRPr="00324DC2" w14:paraId="54F72006" w14:textId="77777777" w:rsidTr="00304CB9">
        <w:trPr>
          <w:cnfStyle w:val="100000000000" w:firstRow="1" w:lastRow="0" w:firstColumn="0" w:lastColumn="0" w:oddVBand="0" w:evenVBand="0" w:oddHBand="0" w:evenHBand="0" w:firstRowFirstColumn="0" w:firstRowLastColumn="0" w:lastRowFirstColumn="0" w:lastRowLastColumn="0"/>
          <w:trHeight w:val="299"/>
        </w:trPr>
        <w:tc>
          <w:tcPr>
            <w:tcW w:w="1159" w:type="dxa"/>
            <w:hideMark/>
          </w:tcPr>
          <w:p w14:paraId="5BB52A05" w14:textId="77777777" w:rsidR="007C74C8" w:rsidRPr="00324DC2" w:rsidRDefault="007C74C8" w:rsidP="007C74C8">
            <w:pPr>
              <w:pStyle w:val="Body"/>
              <w:rPr>
                <w:sz w:val="18"/>
                <w:szCs w:val="18"/>
              </w:rPr>
            </w:pPr>
            <w:r w:rsidRPr="00324DC2">
              <w:rPr>
                <w:sz w:val="18"/>
                <w:szCs w:val="18"/>
              </w:rPr>
              <w:t>Year</w:t>
            </w:r>
          </w:p>
        </w:tc>
        <w:tc>
          <w:tcPr>
            <w:tcW w:w="912" w:type="dxa"/>
            <w:hideMark/>
          </w:tcPr>
          <w:p w14:paraId="5019E2EC" w14:textId="77777777" w:rsidR="007C74C8" w:rsidRPr="00324DC2" w:rsidRDefault="007C74C8" w:rsidP="007C74C8">
            <w:pPr>
              <w:pStyle w:val="Body"/>
              <w:rPr>
                <w:sz w:val="18"/>
                <w:szCs w:val="18"/>
              </w:rPr>
            </w:pPr>
            <w:r w:rsidRPr="00324DC2">
              <w:rPr>
                <w:sz w:val="18"/>
                <w:szCs w:val="18"/>
              </w:rPr>
              <w:t>2007-2008</w:t>
            </w:r>
          </w:p>
        </w:tc>
        <w:tc>
          <w:tcPr>
            <w:tcW w:w="810" w:type="dxa"/>
            <w:hideMark/>
          </w:tcPr>
          <w:p w14:paraId="0C236129" w14:textId="77777777" w:rsidR="007C74C8" w:rsidRPr="00324DC2" w:rsidRDefault="007C74C8" w:rsidP="007C74C8">
            <w:pPr>
              <w:pStyle w:val="Body"/>
              <w:rPr>
                <w:sz w:val="18"/>
                <w:szCs w:val="18"/>
              </w:rPr>
            </w:pPr>
            <w:r w:rsidRPr="00324DC2">
              <w:rPr>
                <w:sz w:val="18"/>
                <w:szCs w:val="18"/>
              </w:rPr>
              <w:t>2008-2009</w:t>
            </w:r>
          </w:p>
        </w:tc>
        <w:tc>
          <w:tcPr>
            <w:tcW w:w="926" w:type="dxa"/>
            <w:hideMark/>
          </w:tcPr>
          <w:p w14:paraId="44532B2D" w14:textId="77777777" w:rsidR="007C74C8" w:rsidRPr="00324DC2" w:rsidRDefault="007C74C8" w:rsidP="007C74C8">
            <w:pPr>
              <w:pStyle w:val="Body"/>
              <w:rPr>
                <w:sz w:val="18"/>
                <w:szCs w:val="18"/>
              </w:rPr>
            </w:pPr>
            <w:r w:rsidRPr="00324DC2">
              <w:rPr>
                <w:sz w:val="18"/>
                <w:szCs w:val="18"/>
              </w:rPr>
              <w:t>2009-2010</w:t>
            </w:r>
          </w:p>
        </w:tc>
        <w:tc>
          <w:tcPr>
            <w:tcW w:w="926" w:type="dxa"/>
            <w:hideMark/>
          </w:tcPr>
          <w:p w14:paraId="45AC298D" w14:textId="77777777" w:rsidR="007C74C8" w:rsidRPr="00324DC2" w:rsidRDefault="007C74C8" w:rsidP="007C74C8">
            <w:pPr>
              <w:pStyle w:val="Body"/>
              <w:rPr>
                <w:sz w:val="18"/>
                <w:szCs w:val="18"/>
              </w:rPr>
            </w:pPr>
            <w:r w:rsidRPr="00324DC2">
              <w:rPr>
                <w:sz w:val="18"/>
                <w:szCs w:val="18"/>
              </w:rPr>
              <w:t>2010-2011</w:t>
            </w:r>
          </w:p>
        </w:tc>
        <w:tc>
          <w:tcPr>
            <w:tcW w:w="926" w:type="dxa"/>
            <w:hideMark/>
          </w:tcPr>
          <w:p w14:paraId="78C2D5A5" w14:textId="77777777" w:rsidR="007C74C8" w:rsidRPr="00324DC2" w:rsidRDefault="007C74C8" w:rsidP="007C74C8">
            <w:pPr>
              <w:pStyle w:val="Body"/>
              <w:rPr>
                <w:sz w:val="18"/>
                <w:szCs w:val="18"/>
              </w:rPr>
            </w:pPr>
            <w:r w:rsidRPr="00324DC2">
              <w:rPr>
                <w:sz w:val="18"/>
                <w:szCs w:val="18"/>
              </w:rPr>
              <w:t>2011-2012</w:t>
            </w:r>
          </w:p>
        </w:tc>
        <w:tc>
          <w:tcPr>
            <w:tcW w:w="926" w:type="dxa"/>
            <w:hideMark/>
          </w:tcPr>
          <w:p w14:paraId="658B0975" w14:textId="77777777" w:rsidR="007C74C8" w:rsidRPr="00324DC2" w:rsidRDefault="007C74C8" w:rsidP="007C74C8">
            <w:pPr>
              <w:pStyle w:val="Body"/>
              <w:rPr>
                <w:sz w:val="18"/>
                <w:szCs w:val="18"/>
              </w:rPr>
            </w:pPr>
            <w:r w:rsidRPr="00324DC2">
              <w:rPr>
                <w:sz w:val="18"/>
                <w:szCs w:val="18"/>
              </w:rPr>
              <w:t>2012-2013</w:t>
            </w:r>
          </w:p>
        </w:tc>
        <w:tc>
          <w:tcPr>
            <w:tcW w:w="926" w:type="dxa"/>
            <w:hideMark/>
          </w:tcPr>
          <w:p w14:paraId="21F6CAB6" w14:textId="77777777" w:rsidR="007C74C8" w:rsidRPr="00324DC2" w:rsidRDefault="007C74C8" w:rsidP="007C74C8">
            <w:pPr>
              <w:pStyle w:val="Body"/>
              <w:rPr>
                <w:sz w:val="18"/>
                <w:szCs w:val="18"/>
              </w:rPr>
            </w:pPr>
            <w:r w:rsidRPr="00324DC2">
              <w:rPr>
                <w:sz w:val="18"/>
                <w:szCs w:val="18"/>
              </w:rPr>
              <w:t>2013-2014</w:t>
            </w:r>
          </w:p>
        </w:tc>
        <w:tc>
          <w:tcPr>
            <w:tcW w:w="810" w:type="dxa"/>
            <w:hideMark/>
          </w:tcPr>
          <w:p w14:paraId="13CB6F9A" w14:textId="77777777" w:rsidR="007C74C8" w:rsidRPr="00324DC2" w:rsidRDefault="007C74C8" w:rsidP="007C74C8">
            <w:pPr>
              <w:pStyle w:val="Body"/>
              <w:rPr>
                <w:sz w:val="18"/>
                <w:szCs w:val="18"/>
              </w:rPr>
            </w:pPr>
            <w:r w:rsidRPr="00324DC2">
              <w:rPr>
                <w:sz w:val="18"/>
                <w:szCs w:val="18"/>
              </w:rPr>
              <w:t>2014-2015</w:t>
            </w:r>
          </w:p>
        </w:tc>
        <w:tc>
          <w:tcPr>
            <w:tcW w:w="878" w:type="dxa"/>
          </w:tcPr>
          <w:p w14:paraId="7E85255B" w14:textId="77777777" w:rsidR="007C74C8" w:rsidRPr="00324DC2" w:rsidRDefault="007C74C8" w:rsidP="007C74C8">
            <w:pPr>
              <w:pStyle w:val="Body"/>
              <w:rPr>
                <w:sz w:val="18"/>
                <w:szCs w:val="18"/>
              </w:rPr>
            </w:pPr>
            <w:r w:rsidRPr="00324DC2">
              <w:rPr>
                <w:sz w:val="18"/>
                <w:szCs w:val="18"/>
              </w:rPr>
              <w:t>2015-2016</w:t>
            </w:r>
          </w:p>
        </w:tc>
      </w:tr>
      <w:tr w:rsidR="007C74C8" w:rsidRPr="00324DC2" w14:paraId="68E888B7" w14:textId="77777777" w:rsidTr="00304CB9">
        <w:trPr>
          <w:trHeight w:val="302"/>
        </w:trPr>
        <w:tc>
          <w:tcPr>
            <w:tcW w:w="1159" w:type="dxa"/>
            <w:hideMark/>
          </w:tcPr>
          <w:p w14:paraId="27946BB6" w14:textId="77777777" w:rsidR="007C74C8" w:rsidRPr="00324DC2" w:rsidRDefault="007C74C8" w:rsidP="007C74C8">
            <w:pPr>
              <w:pStyle w:val="Body"/>
              <w:rPr>
                <w:sz w:val="18"/>
                <w:szCs w:val="18"/>
              </w:rPr>
            </w:pPr>
            <w:r w:rsidRPr="00324DC2">
              <w:rPr>
                <w:sz w:val="18"/>
                <w:szCs w:val="18"/>
              </w:rPr>
              <w:t>Total</w:t>
            </w:r>
          </w:p>
        </w:tc>
        <w:tc>
          <w:tcPr>
            <w:tcW w:w="912" w:type="dxa"/>
            <w:hideMark/>
          </w:tcPr>
          <w:p w14:paraId="03F4DD51" w14:textId="77777777" w:rsidR="007C74C8" w:rsidRPr="00324DC2" w:rsidRDefault="007C74C8" w:rsidP="007C74C8">
            <w:pPr>
              <w:pStyle w:val="Body"/>
              <w:rPr>
                <w:sz w:val="18"/>
                <w:szCs w:val="18"/>
              </w:rPr>
            </w:pPr>
            <w:r w:rsidRPr="00324DC2">
              <w:rPr>
                <w:sz w:val="18"/>
                <w:szCs w:val="18"/>
              </w:rPr>
              <w:t>232,856*</w:t>
            </w:r>
          </w:p>
        </w:tc>
        <w:tc>
          <w:tcPr>
            <w:tcW w:w="810" w:type="dxa"/>
            <w:hideMark/>
          </w:tcPr>
          <w:p w14:paraId="63DB28BE" w14:textId="77777777" w:rsidR="007C74C8" w:rsidRPr="00324DC2" w:rsidRDefault="007C74C8" w:rsidP="007C74C8">
            <w:pPr>
              <w:pStyle w:val="Body"/>
              <w:rPr>
                <w:sz w:val="18"/>
                <w:szCs w:val="18"/>
              </w:rPr>
            </w:pPr>
            <w:r w:rsidRPr="00324DC2">
              <w:rPr>
                <w:sz w:val="18"/>
                <w:szCs w:val="18"/>
              </w:rPr>
              <w:t>156,960*</w:t>
            </w:r>
          </w:p>
        </w:tc>
        <w:tc>
          <w:tcPr>
            <w:tcW w:w="926" w:type="dxa"/>
            <w:hideMark/>
          </w:tcPr>
          <w:p w14:paraId="69B6E354" w14:textId="77777777" w:rsidR="007C74C8" w:rsidRPr="00324DC2" w:rsidRDefault="007C74C8" w:rsidP="007C74C8">
            <w:pPr>
              <w:pStyle w:val="Body"/>
              <w:rPr>
                <w:sz w:val="18"/>
                <w:szCs w:val="18"/>
              </w:rPr>
            </w:pPr>
            <w:r w:rsidRPr="00324DC2">
              <w:rPr>
                <w:sz w:val="18"/>
                <w:szCs w:val="18"/>
              </w:rPr>
              <w:t>286,241*</w:t>
            </w:r>
          </w:p>
        </w:tc>
        <w:tc>
          <w:tcPr>
            <w:tcW w:w="926" w:type="dxa"/>
            <w:hideMark/>
          </w:tcPr>
          <w:p w14:paraId="283BF358" w14:textId="77777777" w:rsidR="007C74C8" w:rsidRPr="00324DC2" w:rsidRDefault="007C74C8" w:rsidP="007C74C8">
            <w:pPr>
              <w:pStyle w:val="Body"/>
              <w:rPr>
                <w:sz w:val="18"/>
                <w:szCs w:val="18"/>
              </w:rPr>
            </w:pPr>
            <w:r w:rsidRPr="00324DC2">
              <w:rPr>
                <w:sz w:val="18"/>
                <w:szCs w:val="18"/>
              </w:rPr>
              <w:t>104,793</w:t>
            </w:r>
          </w:p>
        </w:tc>
        <w:tc>
          <w:tcPr>
            <w:tcW w:w="926" w:type="dxa"/>
            <w:hideMark/>
          </w:tcPr>
          <w:p w14:paraId="1EF34B0A" w14:textId="77777777" w:rsidR="007C74C8" w:rsidRPr="00324DC2" w:rsidRDefault="007C74C8" w:rsidP="007C74C8">
            <w:pPr>
              <w:pStyle w:val="Body"/>
              <w:rPr>
                <w:sz w:val="18"/>
                <w:szCs w:val="18"/>
              </w:rPr>
            </w:pPr>
            <w:r w:rsidRPr="00324DC2">
              <w:rPr>
                <w:sz w:val="18"/>
                <w:szCs w:val="18"/>
              </w:rPr>
              <w:t>131,521</w:t>
            </w:r>
          </w:p>
        </w:tc>
        <w:tc>
          <w:tcPr>
            <w:tcW w:w="926" w:type="dxa"/>
            <w:hideMark/>
          </w:tcPr>
          <w:p w14:paraId="769290D3" w14:textId="77777777" w:rsidR="007C74C8" w:rsidRPr="00324DC2" w:rsidRDefault="007C74C8" w:rsidP="007C74C8">
            <w:pPr>
              <w:pStyle w:val="Body"/>
              <w:rPr>
                <w:sz w:val="18"/>
                <w:szCs w:val="18"/>
              </w:rPr>
            </w:pPr>
            <w:r w:rsidRPr="00324DC2">
              <w:rPr>
                <w:sz w:val="18"/>
                <w:szCs w:val="18"/>
              </w:rPr>
              <w:t>61,940</w:t>
            </w:r>
          </w:p>
        </w:tc>
        <w:tc>
          <w:tcPr>
            <w:tcW w:w="926" w:type="dxa"/>
            <w:hideMark/>
          </w:tcPr>
          <w:p w14:paraId="6FCAF8D1" w14:textId="77777777" w:rsidR="007C74C8" w:rsidRPr="00324DC2" w:rsidRDefault="007C74C8" w:rsidP="007C74C8">
            <w:pPr>
              <w:pStyle w:val="Body"/>
              <w:rPr>
                <w:sz w:val="18"/>
                <w:szCs w:val="18"/>
              </w:rPr>
            </w:pPr>
            <w:r w:rsidRPr="00324DC2">
              <w:rPr>
                <w:sz w:val="18"/>
                <w:szCs w:val="18"/>
              </w:rPr>
              <w:t>39,302</w:t>
            </w:r>
          </w:p>
        </w:tc>
        <w:tc>
          <w:tcPr>
            <w:tcW w:w="810" w:type="dxa"/>
            <w:hideMark/>
          </w:tcPr>
          <w:p w14:paraId="58B86807" w14:textId="77777777" w:rsidR="007C74C8" w:rsidRPr="00324DC2" w:rsidRDefault="007C74C8" w:rsidP="007C74C8">
            <w:pPr>
              <w:pStyle w:val="Body"/>
              <w:rPr>
                <w:sz w:val="18"/>
                <w:szCs w:val="18"/>
              </w:rPr>
            </w:pPr>
            <w:r w:rsidRPr="00324DC2">
              <w:rPr>
                <w:sz w:val="18"/>
                <w:szCs w:val="18"/>
              </w:rPr>
              <w:t>58,973</w:t>
            </w:r>
          </w:p>
        </w:tc>
        <w:tc>
          <w:tcPr>
            <w:tcW w:w="878" w:type="dxa"/>
          </w:tcPr>
          <w:p w14:paraId="357BC95B" w14:textId="77777777" w:rsidR="007C74C8" w:rsidRPr="00324DC2" w:rsidRDefault="007C74C8" w:rsidP="007C74C8">
            <w:pPr>
              <w:pStyle w:val="Body"/>
              <w:rPr>
                <w:sz w:val="18"/>
                <w:szCs w:val="18"/>
              </w:rPr>
            </w:pPr>
            <w:r w:rsidRPr="00324DC2">
              <w:rPr>
                <w:sz w:val="18"/>
                <w:szCs w:val="18"/>
              </w:rPr>
              <w:t>62,045</w:t>
            </w:r>
          </w:p>
        </w:tc>
      </w:tr>
      <w:tr w:rsidR="007C74C8" w:rsidRPr="00324DC2" w14:paraId="37262633" w14:textId="77777777" w:rsidTr="00304CB9">
        <w:trPr>
          <w:trHeight w:val="560"/>
        </w:trPr>
        <w:tc>
          <w:tcPr>
            <w:tcW w:w="1159" w:type="dxa"/>
            <w:hideMark/>
          </w:tcPr>
          <w:p w14:paraId="3BD1BA75" w14:textId="77777777" w:rsidR="007C74C8" w:rsidRPr="00F32E15" w:rsidRDefault="007C74C8" w:rsidP="007C74C8">
            <w:pPr>
              <w:pStyle w:val="Body"/>
              <w:rPr>
                <w:sz w:val="18"/>
                <w:szCs w:val="18"/>
                <w:lang w:val="en-GB"/>
              </w:rPr>
            </w:pPr>
            <w:r w:rsidRPr="00F32E15">
              <w:rPr>
                <w:sz w:val="18"/>
                <w:szCs w:val="18"/>
                <w:lang w:val="en-GB"/>
              </w:rPr>
              <w:t>Adult education and training courses</w:t>
            </w:r>
          </w:p>
        </w:tc>
        <w:tc>
          <w:tcPr>
            <w:tcW w:w="912" w:type="dxa"/>
            <w:hideMark/>
          </w:tcPr>
          <w:p w14:paraId="77EAFC82" w14:textId="77777777" w:rsidR="007C74C8" w:rsidRPr="00324DC2" w:rsidRDefault="007C74C8" w:rsidP="007C74C8">
            <w:pPr>
              <w:pStyle w:val="Body"/>
              <w:rPr>
                <w:sz w:val="18"/>
                <w:szCs w:val="18"/>
              </w:rPr>
            </w:pPr>
            <w:r w:rsidRPr="00324DC2">
              <w:rPr>
                <w:sz w:val="18"/>
                <w:szCs w:val="18"/>
              </w:rPr>
              <w:t>55,526</w:t>
            </w:r>
          </w:p>
        </w:tc>
        <w:tc>
          <w:tcPr>
            <w:tcW w:w="810" w:type="dxa"/>
            <w:hideMark/>
          </w:tcPr>
          <w:p w14:paraId="0CE5F78C" w14:textId="77777777" w:rsidR="007C74C8" w:rsidRPr="00324DC2" w:rsidRDefault="007C74C8" w:rsidP="007C74C8">
            <w:pPr>
              <w:pStyle w:val="Body"/>
              <w:rPr>
                <w:sz w:val="18"/>
                <w:szCs w:val="18"/>
              </w:rPr>
            </w:pPr>
            <w:r w:rsidRPr="00324DC2">
              <w:rPr>
                <w:sz w:val="18"/>
                <w:szCs w:val="18"/>
              </w:rPr>
              <w:t>152,175</w:t>
            </w:r>
          </w:p>
        </w:tc>
        <w:tc>
          <w:tcPr>
            <w:tcW w:w="926" w:type="dxa"/>
            <w:hideMark/>
          </w:tcPr>
          <w:p w14:paraId="6D56741F" w14:textId="77777777" w:rsidR="007C74C8" w:rsidRPr="00324DC2" w:rsidRDefault="007C74C8" w:rsidP="007C74C8">
            <w:pPr>
              <w:pStyle w:val="Body"/>
              <w:rPr>
                <w:sz w:val="18"/>
                <w:szCs w:val="18"/>
              </w:rPr>
            </w:pPr>
            <w:r w:rsidRPr="00324DC2">
              <w:rPr>
                <w:sz w:val="18"/>
                <w:szCs w:val="18"/>
              </w:rPr>
              <w:t>79,368</w:t>
            </w:r>
          </w:p>
        </w:tc>
        <w:tc>
          <w:tcPr>
            <w:tcW w:w="926" w:type="dxa"/>
            <w:hideMark/>
          </w:tcPr>
          <w:p w14:paraId="28B1C74B" w14:textId="77777777" w:rsidR="007C74C8" w:rsidRPr="00324DC2" w:rsidRDefault="007C74C8" w:rsidP="007C74C8">
            <w:pPr>
              <w:pStyle w:val="Body"/>
              <w:rPr>
                <w:sz w:val="18"/>
                <w:szCs w:val="18"/>
              </w:rPr>
            </w:pPr>
            <w:r w:rsidRPr="00324DC2">
              <w:rPr>
                <w:sz w:val="18"/>
                <w:szCs w:val="18"/>
              </w:rPr>
              <w:t>70.760</w:t>
            </w:r>
          </w:p>
        </w:tc>
        <w:tc>
          <w:tcPr>
            <w:tcW w:w="926" w:type="dxa"/>
            <w:hideMark/>
          </w:tcPr>
          <w:p w14:paraId="47374FCD" w14:textId="77777777" w:rsidR="007C74C8" w:rsidRPr="00324DC2" w:rsidRDefault="007C74C8" w:rsidP="007C74C8">
            <w:pPr>
              <w:pStyle w:val="Body"/>
              <w:rPr>
                <w:sz w:val="18"/>
                <w:szCs w:val="18"/>
              </w:rPr>
            </w:pPr>
            <w:r w:rsidRPr="00324DC2">
              <w:rPr>
                <w:sz w:val="18"/>
                <w:szCs w:val="18"/>
              </w:rPr>
              <w:t>48,379</w:t>
            </w:r>
          </w:p>
        </w:tc>
        <w:tc>
          <w:tcPr>
            <w:tcW w:w="926" w:type="dxa"/>
            <w:hideMark/>
          </w:tcPr>
          <w:p w14:paraId="2FFD5739" w14:textId="77777777" w:rsidR="007C74C8" w:rsidRPr="00324DC2" w:rsidRDefault="007C74C8" w:rsidP="007C74C8">
            <w:pPr>
              <w:pStyle w:val="Body"/>
              <w:rPr>
                <w:sz w:val="18"/>
                <w:szCs w:val="18"/>
              </w:rPr>
            </w:pPr>
            <w:r w:rsidRPr="00324DC2">
              <w:rPr>
                <w:sz w:val="18"/>
                <w:szCs w:val="18"/>
              </w:rPr>
              <w:t>32,709</w:t>
            </w:r>
          </w:p>
        </w:tc>
        <w:tc>
          <w:tcPr>
            <w:tcW w:w="926" w:type="dxa"/>
            <w:hideMark/>
          </w:tcPr>
          <w:p w14:paraId="2507E0D4" w14:textId="77777777" w:rsidR="007C74C8" w:rsidRPr="00324DC2" w:rsidRDefault="007C74C8" w:rsidP="007C74C8">
            <w:pPr>
              <w:pStyle w:val="Body"/>
              <w:rPr>
                <w:sz w:val="18"/>
                <w:szCs w:val="18"/>
              </w:rPr>
            </w:pPr>
            <w:r w:rsidRPr="00324DC2">
              <w:rPr>
                <w:sz w:val="18"/>
                <w:szCs w:val="18"/>
              </w:rPr>
              <w:t>27,289</w:t>
            </w:r>
          </w:p>
        </w:tc>
        <w:tc>
          <w:tcPr>
            <w:tcW w:w="810" w:type="dxa"/>
            <w:hideMark/>
          </w:tcPr>
          <w:p w14:paraId="3A48E48E" w14:textId="77777777" w:rsidR="007C74C8" w:rsidRPr="00324DC2" w:rsidRDefault="007C74C8" w:rsidP="007C74C8">
            <w:pPr>
              <w:pStyle w:val="Body"/>
              <w:rPr>
                <w:sz w:val="18"/>
                <w:szCs w:val="18"/>
              </w:rPr>
            </w:pPr>
            <w:r w:rsidRPr="00324DC2">
              <w:rPr>
                <w:sz w:val="18"/>
                <w:szCs w:val="18"/>
              </w:rPr>
              <w:t>53,427</w:t>
            </w:r>
          </w:p>
        </w:tc>
        <w:tc>
          <w:tcPr>
            <w:tcW w:w="878" w:type="dxa"/>
          </w:tcPr>
          <w:p w14:paraId="1974F6A0" w14:textId="77777777" w:rsidR="007C74C8" w:rsidRPr="00324DC2" w:rsidRDefault="007C74C8" w:rsidP="007C74C8">
            <w:pPr>
              <w:pStyle w:val="Body"/>
              <w:rPr>
                <w:sz w:val="18"/>
                <w:szCs w:val="18"/>
              </w:rPr>
            </w:pPr>
            <w:r w:rsidRPr="00324DC2">
              <w:rPr>
                <w:sz w:val="18"/>
                <w:szCs w:val="18"/>
              </w:rPr>
              <w:t>39,997</w:t>
            </w:r>
          </w:p>
        </w:tc>
      </w:tr>
      <w:tr w:rsidR="007C74C8" w:rsidRPr="00324DC2" w14:paraId="149B52B3" w14:textId="77777777" w:rsidTr="00304CB9">
        <w:trPr>
          <w:trHeight w:val="427"/>
        </w:trPr>
        <w:tc>
          <w:tcPr>
            <w:tcW w:w="1159" w:type="dxa"/>
            <w:hideMark/>
          </w:tcPr>
          <w:p w14:paraId="4D9456B5" w14:textId="77777777" w:rsidR="007C74C8" w:rsidRPr="00324DC2" w:rsidRDefault="007C74C8" w:rsidP="007C74C8">
            <w:pPr>
              <w:pStyle w:val="Body"/>
              <w:rPr>
                <w:sz w:val="18"/>
                <w:szCs w:val="18"/>
              </w:rPr>
            </w:pPr>
            <w:r w:rsidRPr="00324DC2">
              <w:rPr>
                <w:sz w:val="18"/>
                <w:szCs w:val="18"/>
              </w:rPr>
              <w:t>Recognition of prior learning</w:t>
            </w:r>
          </w:p>
        </w:tc>
        <w:tc>
          <w:tcPr>
            <w:tcW w:w="912" w:type="dxa"/>
            <w:hideMark/>
          </w:tcPr>
          <w:p w14:paraId="4ECF31F9" w14:textId="77777777" w:rsidR="007C74C8" w:rsidRPr="00324DC2" w:rsidRDefault="007C74C8" w:rsidP="007C74C8">
            <w:pPr>
              <w:pStyle w:val="Body"/>
              <w:rPr>
                <w:sz w:val="18"/>
                <w:szCs w:val="18"/>
              </w:rPr>
            </w:pPr>
            <w:r w:rsidRPr="00324DC2">
              <w:rPr>
                <w:sz w:val="18"/>
                <w:szCs w:val="18"/>
              </w:rPr>
              <w:t>142,038</w:t>
            </w:r>
          </w:p>
        </w:tc>
        <w:tc>
          <w:tcPr>
            <w:tcW w:w="810" w:type="dxa"/>
            <w:hideMark/>
          </w:tcPr>
          <w:p w14:paraId="7DBCFD96" w14:textId="77777777" w:rsidR="007C74C8" w:rsidRPr="00324DC2" w:rsidRDefault="007C74C8" w:rsidP="007C74C8">
            <w:pPr>
              <w:pStyle w:val="Body"/>
              <w:rPr>
                <w:sz w:val="18"/>
                <w:szCs w:val="18"/>
              </w:rPr>
            </w:pPr>
            <w:r w:rsidRPr="00324DC2">
              <w:rPr>
                <w:sz w:val="18"/>
                <w:szCs w:val="18"/>
              </w:rPr>
              <w:t>208,120</w:t>
            </w:r>
          </w:p>
        </w:tc>
        <w:tc>
          <w:tcPr>
            <w:tcW w:w="926" w:type="dxa"/>
            <w:hideMark/>
          </w:tcPr>
          <w:p w14:paraId="5659656B" w14:textId="77777777" w:rsidR="007C74C8" w:rsidRPr="00324DC2" w:rsidRDefault="007C74C8" w:rsidP="007C74C8">
            <w:pPr>
              <w:pStyle w:val="Body"/>
              <w:rPr>
                <w:sz w:val="18"/>
                <w:szCs w:val="18"/>
              </w:rPr>
            </w:pPr>
            <w:r w:rsidRPr="00324DC2">
              <w:rPr>
                <w:sz w:val="18"/>
                <w:szCs w:val="18"/>
              </w:rPr>
              <w:t>191,457</w:t>
            </w:r>
          </w:p>
        </w:tc>
        <w:tc>
          <w:tcPr>
            <w:tcW w:w="926" w:type="dxa"/>
            <w:hideMark/>
          </w:tcPr>
          <w:p w14:paraId="3E949283" w14:textId="77777777" w:rsidR="007C74C8" w:rsidRPr="00324DC2" w:rsidRDefault="007C74C8" w:rsidP="007C74C8">
            <w:pPr>
              <w:pStyle w:val="Body"/>
              <w:rPr>
                <w:sz w:val="18"/>
                <w:szCs w:val="18"/>
              </w:rPr>
            </w:pPr>
            <w:r w:rsidRPr="00324DC2">
              <w:rPr>
                <w:sz w:val="18"/>
                <w:szCs w:val="18"/>
              </w:rPr>
              <w:t>119,932</w:t>
            </w:r>
          </w:p>
        </w:tc>
        <w:tc>
          <w:tcPr>
            <w:tcW w:w="926" w:type="dxa"/>
            <w:hideMark/>
          </w:tcPr>
          <w:p w14:paraId="64C580DB" w14:textId="77777777" w:rsidR="007C74C8" w:rsidRPr="00324DC2" w:rsidRDefault="007C74C8" w:rsidP="007C74C8">
            <w:pPr>
              <w:pStyle w:val="Body"/>
              <w:rPr>
                <w:sz w:val="18"/>
                <w:szCs w:val="18"/>
              </w:rPr>
            </w:pPr>
            <w:r w:rsidRPr="00324DC2">
              <w:rPr>
                <w:sz w:val="18"/>
                <w:szCs w:val="18"/>
              </w:rPr>
              <w:t>74,724</w:t>
            </w:r>
          </w:p>
        </w:tc>
        <w:tc>
          <w:tcPr>
            <w:tcW w:w="926" w:type="dxa"/>
            <w:hideMark/>
          </w:tcPr>
          <w:p w14:paraId="07ED4687" w14:textId="77777777" w:rsidR="007C74C8" w:rsidRPr="00324DC2" w:rsidRDefault="007C74C8" w:rsidP="007C74C8">
            <w:pPr>
              <w:pStyle w:val="Body"/>
              <w:rPr>
                <w:sz w:val="18"/>
                <w:szCs w:val="18"/>
              </w:rPr>
            </w:pPr>
            <w:r w:rsidRPr="00324DC2">
              <w:rPr>
                <w:sz w:val="18"/>
                <w:szCs w:val="18"/>
              </w:rPr>
              <w:t>20,763</w:t>
            </w:r>
          </w:p>
        </w:tc>
        <w:tc>
          <w:tcPr>
            <w:tcW w:w="926" w:type="dxa"/>
            <w:hideMark/>
          </w:tcPr>
          <w:p w14:paraId="34B74AE9" w14:textId="77777777" w:rsidR="007C74C8" w:rsidRPr="00324DC2" w:rsidRDefault="007C74C8" w:rsidP="007C74C8">
            <w:pPr>
              <w:pStyle w:val="Body"/>
              <w:rPr>
                <w:sz w:val="18"/>
                <w:szCs w:val="18"/>
              </w:rPr>
            </w:pPr>
            <w:r w:rsidRPr="00324DC2">
              <w:rPr>
                <w:sz w:val="18"/>
                <w:szCs w:val="18"/>
              </w:rPr>
              <w:t>2,283</w:t>
            </w:r>
          </w:p>
        </w:tc>
        <w:tc>
          <w:tcPr>
            <w:tcW w:w="810" w:type="dxa"/>
            <w:hideMark/>
          </w:tcPr>
          <w:p w14:paraId="76C1AA60" w14:textId="77777777" w:rsidR="007C74C8" w:rsidRPr="00324DC2" w:rsidRDefault="007C74C8" w:rsidP="007C74C8">
            <w:pPr>
              <w:pStyle w:val="Body"/>
              <w:rPr>
                <w:sz w:val="18"/>
                <w:szCs w:val="18"/>
              </w:rPr>
            </w:pPr>
            <w:r w:rsidRPr="00324DC2">
              <w:rPr>
                <w:sz w:val="18"/>
                <w:szCs w:val="18"/>
              </w:rPr>
              <w:t>24,498</w:t>
            </w:r>
          </w:p>
        </w:tc>
        <w:tc>
          <w:tcPr>
            <w:tcW w:w="878" w:type="dxa"/>
          </w:tcPr>
          <w:p w14:paraId="7EB22DFE" w14:textId="77777777" w:rsidR="007C74C8" w:rsidRPr="00324DC2" w:rsidRDefault="007C74C8" w:rsidP="007C74C8">
            <w:pPr>
              <w:pStyle w:val="Body"/>
              <w:rPr>
                <w:sz w:val="18"/>
                <w:szCs w:val="18"/>
              </w:rPr>
            </w:pPr>
            <w:r w:rsidRPr="00324DC2">
              <w:rPr>
                <w:sz w:val="18"/>
                <w:szCs w:val="18"/>
              </w:rPr>
              <w:t>12,288</w:t>
            </w:r>
          </w:p>
        </w:tc>
      </w:tr>
      <w:tr w:rsidR="007C74C8" w:rsidRPr="00324DC2" w14:paraId="677E8B72" w14:textId="77777777" w:rsidTr="00304CB9">
        <w:trPr>
          <w:trHeight w:val="299"/>
        </w:trPr>
        <w:tc>
          <w:tcPr>
            <w:tcW w:w="1159" w:type="dxa"/>
            <w:hideMark/>
          </w:tcPr>
          <w:p w14:paraId="25C06662" w14:textId="77777777" w:rsidR="007C74C8" w:rsidRPr="00324DC2" w:rsidRDefault="007C74C8" w:rsidP="007C74C8">
            <w:pPr>
              <w:pStyle w:val="Body"/>
              <w:rPr>
                <w:sz w:val="18"/>
                <w:szCs w:val="18"/>
              </w:rPr>
            </w:pPr>
            <w:r w:rsidRPr="00324DC2">
              <w:rPr>
                <w:sz w:val="18"/>
                <w:szCs w:val="18"/>
              </w:rPr>
              <w:t>Modular training</w:t>
            </w:r>
          </w:p>
        </w:tc>
        <w:tc>
          <w:tcPr>
            <w:tcW w:w="912" w:type="dxa"/>
            <w:hideMark/>
          </w:tcPr>
          <w:p w14:paraId="612490C5" w14:textId="77777777" w:rsidR="007C74C8" w:rsidRPr="00324DC2" w:rsidRDefault="007C74C8" w:rsidP="007C74C8">
            <w:pPr>
              <w:pStyle w:val="Body"/>
              <w:rPr>
                <w:sz w:val="18"/>
                <w:szCs w:val="18"/>
              </w:rPr>
            </w:pPr>
            <w:r w:rsidRPr="00324DC2">
              <w:rPr>
                <w:sz w:val="18"/>
                <w:szCs w:val="18"/>
              </w:rPr>
              <w:t>-----</w:t>
            </w:r>
          </w:p>
        </w:tc>
        <w:tc>
          <w:tcPr>
            <w:tcW w:w="810" w:type="dxa"/>
            <w:hideMark/>
          </w:tcPr>
          <w:p w14:paraId="52D2C73B" w14:textId="77777777" w:rsidR="007C74C8" w:rsidRPr="00324DC2" w:rsidRDefault="007C74C8" w:rsidP="007C74C8">
            <w:pPr>
              <w:pStyle w:val="Body"/>
              <w:rPr>
                <w:sz w:val="18"/>
                <w:szCs w:val="18"/>
              </w:rPr>
            </w:pPr>
            <w:r w:rsidRPr="00324DC2">
              <w:rPr>
                <w:sz w:val="18"/>
                <w:szCs w:val="18"/>
              </w:rPr>
              <w:t>-----</w:t>
            </w:r>
          </w:p>
        </w:tc>
        <w:tc>
          <w:tcPr>
            <w:tcW w:w="926" w:type="dxa"/>
            <w:hideMark/>
          </w:tcPr>
          <w:p w14:paraId="7B321153" w14:textId="77777777" w:rsidR="007C74C8" w:rsidRPr="00324DC2" w:rsidRDefault="007C74C8" w:rsidP="007C74C8">
            <w:pPr>
              <w:pStyle w:val="Body"/>
              <w:rPr>
                <w:sz w:val="18"/>
                <w:szCs w:val="18"/>
              </w:rPr>
            </w:pPr>
            <w:r w:rsidRPr="00324DC2">
              <w:rPr>
                <w:sz w:val="18"/>
                <w:szCs w:val="18"/>
              </w:rPr>
              <w:t>1,739</w:t>
            </w:r>
          </w:p>
        </w:tc>
        <w:tc>
          <w:tcPr>
            <w:tcW w:w="926" w:type="dxa"/>
            <w:hideMark/>
          </w:tcPr>
          <w:p w14:paraId="4ACF96C3" w14:textId="77777777" w:rsidR="007C74C8" w:rsidRPr="00324DC2" w:rsidRDefault="007C74C8" w:rsidP="007C74C8">
            <w:pPr>
              <w:pStyle w:val="Body"/>
              <w:rPr>
                <w:sz w:val="18"/>
                <w:szCs w:val="18"/>
              </w:rPr>
            </w:pPr>
            <w:r w:rsidRPr="00324DC2">
              <w:rPr>
                <w:sz w:val="18"/>
                <w:szCs w:val="18"/>
              </w:rPr>
              <w:t>1,322</w:t>
            </w:r>
          </w:p>
        </w:tc>
        <w:tc>
          <w:tcPr>
            <w:tcW w:w="926" w:type="dxa"/>
            <w:hideMark/>
          </w:tcPr>
          <w:p w14:paraId="18D78930" w14:textId="77777777" w:rsidR="007C74C8" w:rsidRPr="00324DC2" w:rsidRDefault="007C74C8" w:rsidP="007C74C8">
            <w:pPr>
              <w:pStyle w:val="Body"/>
              <w:rPr>
                <w:sz w:val="18"/>
                <w:szCs w:val="18"/>
              </w:rPr>
            </w:pPr>
            <w:r w:rsidRPr="00324DC2">
              <w:rPr>
                <w:sz w:val="18"/>
                <w:szCs w:val="18"/>
              </w:rPr>
              <w:t>1,799</w:t>
            </w:r>
          </w:p>
        </w:tc>
        <w:tc>
          <w:tcPr>
            <w:tcW w:w="926" w:type="dxa"/>
            <w:hideMark/>
          </w:tcPr>
          <w:p w14:paraId="1FB6C1D1" w14:textId="77777777" w:rsidR="007C74C8" w:rsidRPr="00324DC2" w:rsidRDefault="007C74C8" w:rsidP="007C74C8">
            <w:pPr>
              <w:pStyle w:val="Body"/>
              <w:rPr>
                <w:sz w:val="18"/>
                <w:szCs w:val="18"/>
              </w:rPr>
            </w:pPr>
            <w:r w:rsidRPr="00324DC2">
              <w:rPr>
                <w:sz w:val="18"/>
                <w:szCs w:val="18"/>
              </w:rPr>
              <w:t>1,042</w:t>
            </w:r>
          </w:p>
        </w:tc>
        <w:tc>
          <w:tcPr>
            <w:tcW w:w="926" w:type="dxa"/>
            <w:hideMark/>
          </w:tcPr>
          <w:p w14:paraId="41363E6D" w14:textId="77777777" w:rsidR="007C74C8" w:rsidRPr="00324DC2" w:rsidRDefault="007C74C8" w:rsidP="007C74C8">
            <w:pPr>
              <w:pStyle w:val="Body"/>
              <w:rPr>
                <w:sz w:val="18"/>
                <w:szCs w:val="18"/>
              </w:rPr>
            </w:pPr>
            <w:r w:rsidRPr="00324DC2">
              <w:rPr>
                <w:sz w:val="18"/>
                <w:szCs w:val="18"/>
              </w:rPr>
              <w:t>169</w:t>
            </w:r>
          </w:p>
        </w:tc>
        <w:tc>
          <w:tcPr>
            <w:tcW w:w="810" w:type="dxa"/>
            <w:hideMark/>
          </w:tcPr>
          <w:p w14:paraId="5905AAB9" w14:textId="77777777" w:rsidR="007C74C8" w:rsidRPr="00324DC2" w:rsidRDefault="007C74C8" w:rsidP="007C74C8">
            <w:pPr>
              <w:pStyle w:val="Body"/>
              <w:rPr>
                <w:sz w:val="18"/>
                <w:szCs w:val="18"/>
              </w:rPr>
            </w:pPr>
            <w:r w:rsidRPr="00324DC2">
              <w:rPr>
                <w:sz w:val="18"/>
                <w:szCs w:val="18"/>
              </w:rPr>
              <w:t>348</w:t>
            </w:r>
          </w:p>
        </w:tc>
        <w:tc>
          <w:tcPr>
            <w:tcW w:w="878" w:type="dxa"/>
          </w:tcPr>
          <w:p w14:paraId="49734DDA" w14:textId="77777777" w:rsidR="007C74C8" w:rsidRPr="00324DC2" w:rsidRDefault="007C74C8" w:rsidP="007C74C8">
            <w:pPr>
              <w:pStyle w:val="Body"/>
              <w:rPr>
                <w:sz w:val="18"/>
                <w:szCs w:val="18"/>
              </w:rPr>
            </w:pPr>
            <w:r w:rsidRPr="00324DC2">
              <w:rPr>
                <w:sz w:val="18"/>
                <w:szCs w:val="18"/>
              </w:rPr>
              <w:t>399</w:t>
            </w:r>
          </w:p>
        </w:tc>
      </w:tr>
      <w:tr w:rsidR="007C74C8" w:rsidRPr="00324DC2" w14:paraId="176BC172" w14:textId="77777777" w:rsidTr="00304CB9">
        <w:trPr>
          <w:trHeight w:val="560"/>
        </w:trPr>
        <w:tc>
          <w:tcPr>
            <w:tcW w:w="1159" w:type="dxa"/>
            <w:hideMark/>
          </w:tcPr>
          <w:p w14:paraId="7CB879CA" w14:textId="77777777" w:rsidR="007C74C8" w:rsidRPr="00324DC2" w:rsidRDefault="007C74C8" w:rsidP="007C74C8">
            <w:pPr>
              <w:pStyle w:val="Body"/>
              <w:rPr>
                <w:sz w:val="18"/>
                <w:szCs w:val="18"/>
              </w:rPr>
            </w:pPr>
            <w:r w:rsidRPr="00324DC2">
              <w:rPr>
                <w:sz w:val="18"/>
                <w:szCs w:val="18"/>
              </w:rPr>
              <w:t>Formal second-chance education**</w:t>
            </w:r>
          </w:p>
        </w:tc>
        <w:tc>
          <w:tcPr>
            <w:tcW w:w="912" w:type="dxa"/>
            <w:hideMark/>
          </w:tcPr>
          <w:p w14:paraId="4C25315E" w14:textId="77777777" w:rsidR="007C74C8" w:rsidRPr="00324DC2" w:rsidRDefault="007C74C8" w:rsidP="007C74C8">
            <w:pPr>
              <w:pStyle w:val="Body"/>
              <w:rPr>
                <w:sz w:val="18"/>
                <w:szCs w:val="18"/>
              </w:rPr>
            </w:pPr>
            <w:r w:rsidRPr="00324DC2">
              <w:rPr>
                <w:sz w:val="18"/>
                <w:szCs w:val="18"/>
              </w:rPr>
              <w:t>35,292</w:t>
            </w:r>
          </w:p>
        </w:tc>
        <w:tc>
          <w:tcPr>
            <w:tcW w:w="810" w:type="dxa"/>
            <w:hideMark/>
          </w:tcPr>
          <w:p w14:paraId="49E3CE12" w14:textId="77777777" w:rsidR="007C74C8" w:rsidRPr="00324DC2" w:rsidRDefault="007C74C8" w:rsidP="007C74C8">
            <w:pPr>
              <w:pStyle w:val="Body"/>
              <w:rPr>
                <w:sz w:val="18"/>
                <w:szCs w:val="18"/>
              </w:rPr>
            </w:pPr>
            <w:r w:rsidRPr="00324DC2">
              <w:rPr>
                <w:sz w:val="18"/>
                <w:szCs w:val="18"/>
              </w:rPr>
              <w:t>19,506</w:t>
            </w:r>
          </w:p>
        </w:tc>
        <w:tc>
          <w:tcPr>
            <w:tcW w:w="926" w:type="dxa"/>
            <w:hideMark/>
          </w:tcPr>
          <w:p w14:paraId="43656A19" w14:textId="77777777" w:rsidR="007C74C8" w:rsidRPr="00324DC2" w:rsidRDefault="007C74C8" w:rsidP="007C74C8">
            <w:pPr>
              <w:pStyle w:val="Body"/>
              <w:rPr>
                <w:sz w:val="18"/>
                <w:szCs w:val="18"/>
              </w:rPr>
            </w:pPr>
            <w:r w:rsidRPr="00324DC2">
              <w:rPr>
                <w:sz w:val="18"/>
                <w:szCs w:val="18"/>
              </w:rPr>
              <w:t>13,672</w:t>
            </w:r>
          </w:p>
        </w:tc>
        <w:tc>
          <w:tcPr>
            <w:tcW w:w="926" w:type="dxa"/>
            <w:hideMark/>
          </w:tcPr>
          <w:p w14:paraId="24A40797" w14:textId="77777777" w:rsidR="007C74C8" w:rsidRPr="00324DC2" w:rsidRDefault="007C74C8" w:rsidP="007C74C8">
            <w:pPr>
              <w:pStyle w:val="Body"/>
              <w:rPr>
                <w:sz w:val="18"/>
                <w:szCs w:val="18"/>
              </w:rPr>
            </w:pPr>
            <w:r w:rsidRPr="00324DC2">
              <w:rPr>
                <w:sz w:val="18"/>
                <w:szCs w:val="18"/>
              </w:rPr>
              <w:t>8,910</w:t>
            </w:r>
          </w:p>
        </w:tc>
        <w:tc>
          <w:tcPr>
            <w:tcW w:w="926" w:type="dxa"/>
            <w:hideMark/>
          </w:tcPr>
          <w:p w14:paraId="43C402C6" w14:textId="77777777" w:rsidR="007C74C8" w:rsidRPr="00324DC2" w:rsidRDefault="007C74C8" w:rsidP="007C74C8">
            <w:pPr>
              <w:pStyle w:val="Body"/>
              <w:rPr>
                <w:sz w:val="18"/>
                <w:szCs w:val="18"/>
              </w:rPr>
            </w:pPr>
            <w:r w:rsidRPr="00324DC2">
              <w:rPr>
                <w:sz w:val="18"/>
                <w:szCs w:val="18"/>
              </w:rPr>
              <w:t>6,619</w:t>
            </w:r>
          </w:p>
        </w:tc>
        <w:tc>
          <w:tcPr>
            <w:tcW w:w="926" w:type="dxa"/>
            <w:hideMark/>
          </w:tcPr>
          <w:p w14:paraId="51AB3461" w14:textId="77777777" w:rsidR="007C74C8" w:rsidRPr="00324DC2" w:rsidRDefault="007C74C8" w:rsidP="007C74C8">
            <w:pPr>
              <w:pStyle w:val="Body"/>
              <w:rPr>
                <w:sz w:val="18"/>
                <w:szCs w:val="18"/>
              </w:rPr>
            </w:pPr>
            <w:r w:rsidRPr="00324DC2">
              <w:rPr>
                <w:sz w:val="18"/>
                <w:szCs w:val="18"/>
              </w:rPr>
              <w:t>7,426</w:t>
            </w:r>
          </w:p>
        </w:tc>
        <w:tc>
          <w:tcPr>
            <w:tcW w:w="926" w:type="dxa"/>
            <w:hideMark/>
          </w:tcPr>
          <w:p w14:paraId="30054DE6" w14:textId="77777777" w:rsidR="007C74C8" w:rsidRPr="00324DC2" w:rsidRDefault="007C74C8" w:rsidP="007C74C8">
            <w:pPr>
              <w:pStyle w:val="Body"/>
              <w:rPr>
                <w:sz w:val="18"/>
                <w:szCs w:val="18"/>
              </w:rPr>
            </w:pPr>
            <w:r w:rsidRPr="00324DC2">
              <w:rPr>
                <w:sz w:val="18"/>
                <w:szCs w:val="18"/>
              </w:rPr>
              <w:t>9,561</w:t>
            </w:r>
          </w:p>
        </w:tc>
        <w:tc>
          <w:tcPr>
            <w:tcW w:w="810" w:type="dxa"/>
            <w:hideMark/>
          </w:tcPr>
          <w:p w14:paraId="568A302B" w14:textId="77777777" w:rsidR="007C74C8" w:rsidRPr="00324DC2" w:rsidRDefault="007C74C8" w:rsidP="007C74C8">
            <w:pPr>
              <w:pStyle w:val="Body"/>
              <w:rPr>
                <w:sz w:val="18"/>
                <w:szCs w:val="18"/>
              </w:rPr>
            </w:pPr>
            <w:r w:rsidRPr="00324DC2">
              <w:rPr>
                <w:sz w:val="18"/>
                <w:szCs w:val="18"/>
              </w:rPr>
              <w:t>10,689</w:t>
            </w:r>
          </w:p>
        </w:tc>
        <w:tc>
          <w:tcPr>
            <w:tcW w:w="878" w:type="dxa"/>
          </w:tcPr>
          <w:p w14:paraId="0E66C3A1" w14:textId="77777777" w:rsidR="007C74C8" w:rsidRPr="00324DC2" w:rsidRDefault="007C74C8" w:rsidP="007C74C8">
            <w:pPr>
              <w:pStyle w:val="Body"/>
              <w:rPr>
                <w:sz w:val="18"/>
                <w:szCs w:val="18"/>
              </w:rPr>
            </w:pPr>
            <w:r w:rsidRPr="00324DC2">
              <w:rPr>
                <w:sz w:val="18"/>
                <w:szCs w:val="18"/>
              </w:rPr>
              <w:t>9,361</w:t>
            </w:r>
          </w:p>
        </w:tc>
      </w:tr>
    </w:tbl>
    <w:p w14:paraId="1BE8F09B" w14:textId="77777777" w:rsidR="007C74C8" w:rsidRPr="00F32E15" w:rsidRDefault="007C74C8" w:rsidP="00324DC2">
      <w:pPr>
        <w:pStyle w:val="Body"/>
        <w:spacing w:before="0" w:beforeAutospacing="0" w:after="0" w:afterAutospacing="0"/>
        <w:rPr>
          <w:i/>
          <w:sz w:val="16"/>
          <w:szCs w:val="16"/>
          <w:lang w:val="en-GB"/>
        </w:rPr>
      </w:pPr>
      <w:r w:rsidRPr="00F32E15">
        <w:rPr>
          <w:i/>
          <w:sz w:val="16"/>
          <w:szCs w:val="16"/>
          <w:lang w:val="en-GB"/>
        </w:rPr>
        <w:t>*These numbers include learners enrolled in scientific and humanistic courses, technological courses and visual arts and audio-visual courses.</w:t>
      </w:r>
    </w:p>
    <w:p w14:paraId="52633B01" w14:textId="77777777" w:rsidR="007C74C8" w:rsidRPr="00F32E15" w:rsidRDefault="007C74C8" w:rsidP="00324DC2">
      <w:pPr>
        <w:pStyle w:val="Body"/>
        <w:spacing w:before="0" w:beforeAutospacing="0" w:after="0" w:afterAutospacing="0"/>
        <w:rPr>
          <w:i/>
          <w:sz w:val="16"/>
          <w:szCs w:val="16"/>
          <w:lang w:val="en-GB"/>
        </w:rPr>
      </w:pPr>
      <w:r w:rsidRPr="00F32E15">
        <w:rPr>
          <w:i/>
          <w:sz w:val="16"/>
          <w:szCs w:val="16"/>
          <w:lang w:val="en-GB"/>
        </w:rPr>
        <w:t>**Formal second-chance education is not directly funded by the European Social Fund.</w:t>
      </w:r>
    </w:p>
    <w:p w14:paraId="43DB8741" w14:textId="77777777" w:rsidR="007C74C8" w:rsidRPr="00F32E15" w:rsidRDefault="007C74C8" w:rsidP="007C74C8">
      <w:pPr>
        <w:pStyle w:val="Body"/>
        <w:rPr>
          <w:lang w:val="en-GB"/>
        </w:rPr>
      </w:pPr>
      <w:r w:rsidRPr="00F32E15">
        <w:rPr>
          <w:lang w:val="en-GB"/>
        </w:rPr>
        <w:lastRenderedPageBreak/>
        <w:t>At the same time, during the first semester of 2014, official documents were published regarding the centres</w:t>
      </w:r>
      <w:r w:rsidRPr="00DD4F9E">
        <w:rPr>
          <w:rStyle w:val="FootnoteReference"/>
        </w:rPr>
        <w:footnoteReference w:id="70"/>
      </w:r>
      <w:r w:rsidRPr="00F32E15">
        <w:rPr>
          <w:lang w:val="en-GB"/>
        </w:rPr>
        <w:t>’ operation, which had implications for the recognition of prior learning although they did not fundamentally change the process. According to data provided by the national agency for qualification and vocational education and training in March 2016:</w:t>
      </w:r>
    </w:p>
    <w:p w14:paraId="57E0A60C" w14:textId="77777777" w:rsidR="007C74C8" w:rsidRPr="00F32E15" w:rsidRDefault="007C74C8" w:rsidP="007C74C8">
      <w:pPr>
        <w:pStyle w:val="Body"/>
        <w:numPr>
          <w:ilvl w:val="0"/>
          <w:numId w:val="40"/>
        </w:numPr>
        <w:rPr>
          <w:rFonts w:eastAsia="MS Mincho"/>
          <w:lang w:val="en-GB"/>
        </w:rPr>
      </w:pPr>
      <w:r w:rsidRPr="00F32E15">
        <w:rPr>
          <w:lang w:val="en-GB"/>
        </w:rPr>
        <w:t>New methodological guidelines were published regarding recognition of prior learning, namely those concerning the evaluation of competences and acquisition of certification;</w:t>
      </w:r>
    </w:p>
    <w:p w14:paraId="604F079A" w14:textId="77777777" w:rsidR="007C74C8" w:rsidRPr="00F32E15" w:rsidRDefault="007C74C8" w:rsidP="007C74C8">
      <w:pPr>
        <w:pStyle w:val="Body"/>
        <w:numPr>
          <w:ilvl w:val="0"/>
          <w:numId w:val="40"/>
        </w:numPr>
        <w:rPr>
          <w:lang w:val="en-GB"/>
        </w:rPr>
      </w:pPr>
      <w:r w:rsidRPr="00F32E15">
        <w:rPr>
          <w:lang w:val="en-GB"/>
        </w:rPr>
        <w:t>Changes occurred in the electronic platform that recorded the operation of the centres and in its use by adult educators;</w:t>
      </w:r>
    </w:p>
    <w:p w14:paraId="52E398B4" w14:textId="77777777" w:rsidR="007C74C8" w:rsidRPr="00F32E15" w:rsidRDefault="007C74C8" w:rsidP="007C74C8">
      <w:pPr>
        <w:pStyle w:val="Body"/>
        <w:numPr>
          <w:ilvl w:val="0"/>
          <w:numId w:val="40"/>
        </w:numPr>
        <w:rPr>
          <w:lang w:val="en-GB"/>
        </w:rPr>
      </w:pPr>
      <w:r w:rsidRPr="00F32E15">
        <w:rPr>
          <w:lang w:val="en-GB"/>
        </w:rPr>
        <w:t>There was the adoption of the methodological guide for lifelong guidance</w:t>
      </w:r>
      <w:r w:rsidRPr="00DD4F9E">
        <w:rPr>
          <w:rStyle w:val="FootnoteReference"/>
        </w:rPr>
        <w:footnoteReference w:id="71"/>
      </w:r>
      <w:r w:rsidRPr="00F32E15">
        <w:rPr>
          <w:lang w:val="en-GB"/>
        </w:rPr>
        <w:t>. It is a guiding document for the work carried out by adult educators. This document included a set of aims that foster knowledge of oneself and the learner’s decision concerning his/her education and training path and professional options;</w:t>
      </w:r>
    </w:p>
    <w:p w14:paraId="0066119A" w14:textId="77777777" w:rsidR="007C74C8" w:rsidRPr="00F32E15" w:rsidRDefault="007C74C8" w:rsidP="007C74C8">
      <w:pPr>
        <w:pStyle w:val="Body"/>
        <w:numPr>
          <w:ilvl w:val="0"/>
          <w:numId w:val="40"/>
        </w:numPr>
        <w:rPr>
          <w:lang w:val="en-GB"/>
        </w:rPr>
      </w:pPr>
      <w:r w:rsidRPr="00F32E15">
        <w:rPr>
          <w:lang w:val="en-GB"/>
        </w:rPr>
        <w:t>The valorisation of the interactions between different centres in the territories where they were based, with a view to adjusting the existing education and training offers to the learners’ needs.</w:t>
      </w:r>
    </w:p>
    <w:p w14:paraId="66BDFD1C" w14:textId="77777777" w:rsidR="007C74C8" w:rsidRPr="00F32E15" w:rsidRDefault="007C74C8" w:rsidP="007C74C8">
      <w:pPr>
        <w:pStyle w:val="Body"/>
        <w:rPr>
          <w:lang w:val="en-GB"/>
        </w:rPr>
      </w:pPr>
      <w:r w:rsidRPr="00F32E15">
        <w:rPr>
          <w:lang w:val="en-GB"/>
        </w:rPr>
        <w:t>From 2012 to 2014/2015, no State funding was assigned to centres. In was only in 2016 that procedures to apply to the European Social Fund funding were put in place, namely for centres located in the North, Centre and Alentejo regions. It was also in 2016 that a new legal diploma was adopted in order to establish the Qualify centres (in substitution of centres for qualification and vocational education and training established after 2013). This legal document states the aim of increasing the activities of the centres in the recognition of prior learning, adult education and training courses and modular training</w:t>
      </w:r>
      <w:r w:rsidRPr="00DD4F9E">
        <w:rPr>
          <w:rStyle w:val="FootnoteReference"/>
        </w:rPr>
        <w:footnoteReference w:id="72"/>
      </w:r>
      <w:r w:rsidRPr="00F32E15">
        <w:rPr>
          <w:lang w:val="en-GB"/>
        </w:rPr>
        <w:t>.</w:t>
      </w:r>
    </w:p>
    <w:p w14:paraId="417062B7" w14:textId="77777777" w:rsidR="007C74C8" w:rsidRPr="00F32E15" w:rsidRDefault="007C74C8" w:rsidP="00F41B98">
      <w:pPr>
        <w:pStyle w:val="Heading3"/>
        <w:rPr>
          <w:lang w:val="en-GB"/>
        </w:rPr>
      </w:pPr>
      <w:bookmarkStart w:id="29" w:name="_Toc491862497"/>
      <w:r w:rsidRPr="00F32E15">
        <w:rPr>
          <w:lang w:val="en-GB"/>
        </w:rPr>
        <w:t>Main legislative act(s) governing the provision of adult learning</w:t>
      </w:r>
      <w:bookmarkEnd w:id="29"/>
    </w:p>
    <w:p w14:paraId="0F87EA23" w14:textId="77777777" w:rsidR="007C74C8" w:rsidRPr="00F32E15" w:rsidRDefault="007C74C8" w:rsidP="007C74C8">
      <w:pPr>
        <w:pStyle w:val="Body"/>
        <w:rPr>
          <w:lang w:val="en-GB"/>
        </w:rPr>
      </w:pPr>
      <w:r w:rsidRPr="00F32E15">
        <w:rPr>
          <w:lang w:val="en-GB"/>
        </w:rPr>
        <w:t>The general law of the education system from 1986 refers to formal second-chance education (basic and secondary education) that leads to a school certification (of 9th or 12th years of school education). This provision can be found in regular schools, vocational education, training schools, and centres. Adult basic and secondary education is provided by State-funded (public or private) schools. Compulsory education (basic and secondary education)</w:t>
      </w:r>
      <w:r w:rsidRPr="00D80BA0">
        <w:rPr>
          <w:rStyle w:val="FootnoteReference"/>
        </w:rPr>
        <w:footnoteReference w:id="73"/>
      </w:r>
      <w:r w:rsidRPr="00F32E15">
        <w:rPr>
          <w:lang w:val="en-GB"/>
        </w:rPr>
        <w:t xml:space="preserve"> comprises 12 years of school education. In formal second-chance education traditional school subjects are approached, based on modular units in adult secondary education.</w:t>
      </w:r>
    </w:p>
    <w:p w14:paraId="6C2E0A84" w14:textId="77777777" w:rsidR="007C74C8" w:rsidRPr="00F32E15" w:rsidRDefault="007C74C8" w:rsidP="007C74C8">
      <w:pPr>
        <w:pStyle w:val="Body"/>
        <w:rPr>
          <w:lang w:val="en-GB"/>
        </w:rPr>
      </w:pPr>
      <w:r w:rsidRPr="00F32E15">
        <w:rPr>
          <w:lang w:val="en-GB"/>
        </w:rPr>
        <w:t>Specific legislation published since 2000 regulates other forms of provision such as recognition of prior learning, and adult education and training courses that lead to a formal school certification and/or professional qualification</w:t>
      </w:r>
      <w:r w:rsidRPr="00D80BA0">
        <w:rPr>
          <w:rStyle w:val="FootnoteReference"/>
        </w:rPr>
        <w:footnoteReference w:id="74"/>
      </w:r>
      <w:r w:rsidRPr="00F32E15">
        <w:rPr>
          <w:lang w:val="en-GB"/>
        </w:rPr>
        <w:t xml:space="preserve">. These forms of provision can be </w:t>
      </w:r>
      <w:r w:rsidRPr="00F32E15">
        <w:rPr>
          <w:lang w:val="en-GB"/>
        </w:rPr>
        <w:lastRenderedPageBreak/>
        <w:t xml:space="preserve">developed by the ‘centres qualify’ (in what refers to the recognition of prior learning) and also by other organisations (concerning adult education and training courses and modular training). Qualify centres are part of larger organisations (public, profit-making or civil society). </w:t>
      </w:r>
    </w:p>
    <w:p w14:paraId="3D5666EF" w14:textId="77777777" w:rsidR="007C74C8" w:rsidRPr="00F32E15" w:rsidRDefault="007C74C8" w:rsidP="007C74C8">
      <w:pPr>
        <w:pStyle w:val="Body"/>
        <w:rPr>
          <w:lang w:val="en-GB"/>
        </w:rPr>
      </w:pPr>
      <w:r w:rsidRPr="00F32E15">
        <w:rPr>
          <w:lang w:val="en-GB"/>
        </w:rPr>
        <w:t>These centres may integrate quite different organisations. In September 2017, 300 centres were operational, of which most of these operated in public schools and in vocational education and training centres under the Institute of Employment and Vocational Education and Training. A few centres were in very diverse institutions, including in civil society organisations such as third sector, social solidarity and local development associations. The existing centres can carry out recognition of prior learning leading to school certification. Some of these are allowed to develop recognition of prior learning leading to professional qualification</w:t>
      </w:r>
      <w:r w:rsidRPr="00D80BA0">
        <w:rPr>
          <w:rStyle w:val="FootnoteReference"/>
        </w:rPr>
        <w:footnoteReference w:id="75"/>
      </w:r>
      <w:r w:rsidRPr="00F32E15">
        <w:rPr>
          <w:lang w:val="en-GB"/>
        </w:rPr>
        <w:t>.</w:t>
      </w:r>
    </w:p>
    <w:p w14:paraId="2E62638E" w14:textId="77777777" w:rsidR="007C74C8" w:rsidRPr="005609E2" w:rsidRDefault="007C74C8" w:rsidP="00F41B98">
      <w:pPr>
        <w:pStyle w:val="Heading3"/>
      </w:pPr>
      <w:r w:rsidRPr="005609E2">
        <w:t>3 Main strategies</w:t>
      </w:r>
    </w:p>
    <w:p w14:paraId="0F9209BE" w14:textId="77777777" w:rsidR="007C74C8" w:rsidRPr="00F32E15" w:rsidRDefault="007C74C8" w:rsidP="007C74C8">
      <w:pPr>
        <w:pStyle w:val="Body"/>
        <w:rPr>
          <w:lang w:val="en-GB"/>
        </w:rPr>
      </w:pPr>
      <w:r w:rsidRPr="00F32E15">
        <w:rPr>
          <w:lang w:val="en-GB"/>
        </w:rPr>
        <w:t>The adult education policy under development has as its aims</w:t>
      </w:r>
      <w:r w:rsidRPr="005609E2">
        <w:rPr>
          <w:rStyle w:val="FootnoteReference"/>
        </w:rPr>
        <w:footnoteReference w:id="76"/>
      </w:r>
      <w:r w:rsidRPr="00F32E15">
        <w:rPr>
          <w:lang w:val="en-GB"/>
        </w:rPr>
        <w:t>:</w:t>
      </w:r>
    </w:p>
    <w:p w14:paraId="708C789D" w14:textId="77777777" w:rsidR="007C74C8" w:rsidRPr="00F32E15" w:rsidRDefault="007C74C8" w:rsidP="00503DFE">
      <w:pPr>
        <w:pStyle w:val="Body"/>
        <w:numPr>
          <w:ilvl w:val="0"/>
          <w:numId w:val="41"/>
        </w:numPr>
        <w:rPr>
          <w:lang w:val="en-GB"/>
        </w:rPr>
      </w:pPr>
      <w:r w:rsidRPr="00F32E15">
        <w:rPr>
          <w:lang w:val="en-GB"/>
        </w:rPr>
        <w:t>To revitalise adult education and training as a central pillar of the qualifications system. Owing to the suspension of the adult education policy in 2011, there were no significant forms of provision directed at adults up until 2013. The main aim of the current adult education policy is to re-launch provision such as recognition of prior learning and adult education courses and increase the number of learners holding formal certificates;</w:t>
      </w:r>
    </w:p>
    <w:p w14:paraId="57FC20E2" w14:textId="77777777" w:rsidR="007C74C8" w:rsidRPr="00F32E15" w:rsidRDefault="007C74C8" w:rsidP="00503DFE">
      <w:pPr>
        <w:pStyle w:val="Body"/>
        <w:numPr>
          <w:ilvl w:val="0"/>
          <w:numId w:val="41"/>
        </w:numPr>
        <w:rPr>
          <w:lang w:val="en-GB"/>
        </w:rPr>
      </w:pPr>
      <w:r w:rsidRPr="00F32E15">
        <w:rPr>
          <w:lang w:val="en-GB"/>
        </w:rPr>
        <w:t>To develop adult education policy according to lifelong learning guidelines. The current policy aims at following European Union guidelines in order to benefit from Structural Funds, such as the European Social Fund to support existing forms of provision;</w:t>
      </w:r>
    </w:p>
    <w:p w14:paraId="5E507525" w14:textId="485F36D8" w:rsidR="00503DFE" w:rsidRPr="00F32E15" w:rsidRDefault="007C74C8" w:rsidP="007C74C8">
      <w:pPr>
        <w:pStyle w:val="Body"/>
        <w:numPr>
          <w:ilvl w:val="0"/>
          <w:numId w:val="41"/>
        </w:numPr>
        <w:rPr>
          <w:lang w:val="en-GB"/>
        </w:rPr>
      </w:pPr>
      <w:r w:rsidRPr="00F32E15">
        <w:rPr>
          <w:lang w:val="en-GB"/>
        </w:rPr>
        <w:t>To foster the improvement of quality of learning processes and outcomes. Some of the reasons pointed in 2011 for suspending the adult education policy concerned the lack of quality of the learning processes in recognition of prior learning. The current policy stresses this point for allowing the emergence of tools, procedures, etc. that may improve the quality of the learning processes and avoid criticisms.</w:t>
      </w:r>
    </w:p>
    <w:p w14:paraId="7B60CDD2" w14:textId="77777777" w:rsidR="00503DFE" w:rsidRPr="00317C8A" w:rsidRDefault="00503DFE" w:rsidP="00F41B98">
      <w:pPr>
        <w:pStyle w:val="Heading3"/>
      </w:pPr>
      <w:r w:rsidRPr="00317C8A">
        <w:t>Main implementing acts</w:t>
      </w:r>
    </w:p>
    <w:p w14:paraId="4BC4EEA5" w14:textId="77777777" w:rsidR="00503DFE" w:rsidRPr="00F32E15" w:rsidRDefault="00503DFE" w:rsidP="00503DFE">
      <w:pPr>
        <w:pStyle w:val="Body"/>
        <w:rPr>
          <w:lang w:val="en-GB"/>
        </w:rPr>
      </w:pPr>
      <w:r w:rsidRPr="00F32E15">
        <w:rPr>
          <w:lang w:val="en-GB"/>
        </w:rPr>
        <w:t>Main implementing acts referring to the education and training system are supported by specific legislation, such as the law of the educational system</w:t>
      </w:r>
      <w:r w:rsidRPr="00317C8A">
        <w:rPr>
          <w:rStyle w:val="FootnoteReference"/>
        </w:rPr>
        <w:footnoteReference w:id="77"/>
      </w:r>
      <w:r w:rsidRPr="00F32E15">
        <w:rPr>
          <w:lang w:val="en-GB"/>
        </w:rPr>
        <w:t>.</w:t>
      </w:r>
    </w:p>
    <w:p w14:paraId="5D04056F" w14:textId="77777777" w:rsidR="00503DFE" w:rsidRPr="00F32E15" w:rsidRDefault="00503DFE" w:rsidP="00503DFE">
      <w:pPr>
        <w:pStyle w:val="Body"/>
        <w:rPr>
          <w:lang w:val="en-GB"/>
        </w:rPr>
      </w:pPr>
      <w:r w:rsidRPr="00F32E15">
        <w:rPr>
          <w:lang w:val="en-GB"/>
        </w:rPr>
        <w:lastRenderedPageBreak/>
        <w:t>Qualify programme was announced in August 2016,</w:t>
      </w:r>
      <w:r w:rsidRPr="00317C8A">
        <w:rPr>
          <w:rStyle w:val="FootnoteReference"/>
        </w:rPr>
        <w:footnoteReference w:id="78"/>
      </w:r>
      <w:r w:rsidRPr="00F32E15">
        <w:rPr>
          <w:lang w:val="en-GB"/>
        </w:rPr>
        <w:t xml:space="preserve"> and it includes adult basic and secondary forms of provision including recognition of prior learning, adult education and training courses (both providing a school certification and/or a professional qualification), and modular training. This programme establishes local adult education centres developing forms of provision such as recognition of prior learning, and counselling and guidance processes directed at adult learners so that they can join other forms of provision.</w:t>
      </w:r>
    </w:p>
    <w:p w14:paraId="7E5156D3" w14:textId="77777777" w:rsidR="00503DFE" w:rsidRPr="00F32E15" w:rsidRDefault="00503DFE" w:rsidP="00503DFE">
      <w:pPr>
        <w:pStyle w:val="Body"/>
        <w:rPr>
          <w:lang w:val="en-GB"/>
        </w:rPr>
      </w:pPr>
      <w:r w:rsidRPr="00F32E15">
        <w:rPr>
          <w:lang w:val="en-GB"/>
        </w:rPr>
        <w:t>In higher education institutions, the Older than 23 programme</w:t>
      </w:r>
      <w:r w:rsidRPr="00317C8A">
        <w:rPr>
          <w:rStyle w:val="FootnoteReference"/>
        </w:rPr>
        <w:footnoteReference w:id="79"/>
      </w:r>
      <w:r w:rsidRPr="00F32E15">
        <w:rPr>
          <w:lang w:val="en-GB"/>
        </w:rPr>
        <w:t xml:space="preserve"> establishes a specific entrance path directed at adults learners who did not achieve the regular entrance path. Learners enrol in regular </w:t>
      </w:r>
      <w:proofErr w:type="gramStart"/>
      <w:r w:rsidRPr="00F32E15">
        <w:rPr>
          <w:lang w:val="en-GB"/>
        </w:rPr>
        <w:t>bachelor’s</w:t>
      </w:r>
      <w:proofErr w:type="gramEnd"/>
      <w:r w:rsidRPr="00F32E15">
        <w:rPr>
          <w:lang w:val="en-GB"/>
        </w:rPr>
        <w:t xml:space="preserve"> and master’s degree and get a formal diploma. Additionally, adult learners can apply to validation of non-formal and informal learning and afterwards enrol in a regular bachelor’s and master’s degree. Apart from this programme, professional technical courses</w:t>
      </w:r>
      <w:r w:rsidRPr="00317C8A">
        <w:rPr>
          <w:rStyle w:val="FootnoteReference"/>
        </w:rPr>
        <w:footnoteReference w:id="80"/>
      </w:r>
      <w:r w:rsidRPr="00F32E15">
        <w:rPr>
          <w:lang w:val="en-GB"/>
        </w:rPr>
        <w:t xml:space="preserve"> are also available for adult learners. The attendance of these courses results in a certificate (not a formal diploma).</w:t>
      </w:r>
    </w:p>
    <w:p w14:paraId="117CE540" w14:textId="77777777" w:rsidR="00503DFE" w:rsidRPr="00F32E15" w:rsidRDefault="00503DFE" w:rsidP="00503DFE">
      <w:pPr>
        <w:pStyle w:val="Body"/>
        <w:rPr>
          <w:lang w:val="en-GB"/>
        </w:rPr>
      </w:pPr>
      <w:r w:rsidRPr="00F32E15">
        <w:rPr>
          <w:lang w:val="en-GB"/>
        </w:rPr>
        <w:t>A wide range of institutions provides (initial and continuing) vocational education and training and many of the courses directed at adult learners provide a certificate</w:t>
      </w:r>
      <w:r w:rsidRPr="00317C8A">
        <w:rPr>
          <w:rStyle w:val="FootnoteReference"/>
        </w:rPr>
        <w:footnoteReference w:id="81"/>
      </w:r>
      <w:r w:rsidRPr="00F32E15">
        <w:rPr>
          <w:lang w:val="en-GB"/>
        </w:rPr>
        <w:t xml:space="preserve">. </w:t>
      </w:r>
    </w:p>
    <w:p w14:paraId="7F7380D1" w14:textId="7660CE1B" w:rsidR="00503DFE" w:rsidRPr="00F32E15" w:rsidRDefault="00503DFE" w:rsidP="00503DFE">
      <w:pPr>
        <w:pStyle w:val="Body"/>
        <w:rPr>
          <w:lang w:val="en-GB"/>
        </w:rPr>
      </w:pPr>
      <w:r w:rsidRPr="00F32E15">
        <w:rPr>
          <w:lang w:val="en-GB"/>
        </w:rPr>
        <w:t>Forms of provision allowing a certificate after attendance follow the National Qualification Framework</w:t>
      </w:r>
      <w:r w:rsidRPr="00317C8A">
        <w:rPr>
          <w:rStyle w:val="FootnoteReference"/>
        </w:rPr>
        <w:footnoteReference w:id="82"/>
      </w:r>
      <w:r w:rsidRPr="00F32E15">
        <w:rPr>
          <w:lang w:val="en-GB"/>
        </w:rPr>
        <w:t xml:space="preserve"> guidelines.</w:t>
      </w:r>
    </w:p>
    <w:p w14:paraId="2FD2076D" w14:textId="77777777" w:rsidR="00503DFE" w:rsidRPr="00772472" w:rsidRDefault="00503DFE" w:rsidP="00F41B98">
      <w:pPr>
        <w:pStyle w:val="Heading2"/>
      </w:pPr>
      <w:bookmarkStart w:id="30" w:name="_Toc491862498"/>
      <w:r w:rsidRPr="00772472">
        <w:t>National quantitative policy targets</w:t>
      </w:r>
      <w:bookmarkEnd w:id="30"/>
    </w:p>
    <w:p w14:paraId="2773AE26" w14:textId="77777777" w:rsidR="00503DFE" w:rsidRPr="00F32E15" w:rsidRDefault="00503DFE" w:rsidP="00503DFE">
      <w:pPr>
        <w:pStyle w:val="Body"/>
        <w:rPr>
          <w:lang w:val="en-GB"/>
        </w:rPr>
      </w:pPr>
      <w:r w:rsidRPr="00F32E15">
        <w:rPr>
          <w:lang w:val="en-GB"/>
        </w:rPr>
        <w:t>Although 241 centres for qualification and vocational education and training were established from 2013 to 2016, some regions did not have any of these centres, and few adult learners were enrolled in some forms of provision, such as recognition of prior learning. No significant funding was assigned to these centres. The latest legislation referring to Qualify centres referred to improvements achieved in last decades in adult education participation rates (especially from 2007 to 2011), despite stating that Portugal still has a low qualification rate of adults. This legal document was quite critical towards the previous Government policy (in specific to the fact that the adult education policy was suspended) and stressed that a cycle of convergence with EU average rates of adult participation and education attainment started in 2007 was abandoned. This document emphasised the lack of investment which led to a clear decrease in participation</w:t>
      </w:r>
      <w:r w:rsidRPr="00772472">
        <w:rPr>
          <w:rStyle w:val="FootnoteReference"/>
        </w:rPr>
        <w:footnoteReference w:id="83"/>
      </w:r>
      <w:r w:rsidRPr="00F32E15">
        <w:rPr>
          <w:lang w:val="en-GB"/>
        </w:rPr>
        <w:t xml:space="preserve">. </w:t>
      </w:r>
    </w:p>
    <w:p w14:paraId="1BECC192" w14:textId="77777777" w:rsidR="00503DFE" w:rsidRPr="00F32E15" w:rsidRDefault="00503DFE" w:rsidP="00503DFE">
      <w:pPr>
        <w:pStyle w:val="Body"/>
        <w:rPr>
          <w:lang w:val="en-GB"/>
        </w:rPr>
      </w:pPr>
      <w:r w:rsidRPr="00F32E15">
        <w:rPr>
          <w:lang w:val="en-GB"/>
        </w:rPr>
        <w:lastRenderedPageBreak/>
        <w:t xml:space="preserve">Today 300 Qualify centres can be found all over the country. Therefore, at present there is a political will towards the re-launch of the adult education and training policy. </w:t>
      </w:r>
    </w:p>
    <w:p w14:paraId="64CAC8BE" w14:textId="77777777" w:rsidR="00503DFE" w:rsidRPr="00F32E15" w:rsidRDefault="00503DFE" w:rsidP="00503DFE">
      <w:pPr>
        <w:pStyle w:val="Body"/>
        <w:rPr>
          <w:lang w:val="en-GB"/>
        </w:rPr>
      </w:pPr>
      <w:r w:rsidRPr="00F32E15">
        <w:rPr>
          <w:lang w:val="en-GB"/>
        </w:rPr>
        <w:t>The Qualify programme, has had a legislative background since August 2016</w:t>
      </w:r>
      <w:r w:rsidRPr="00772472">
        <w:rPr>
          <w:rStyle w:val="FootnoteReference"/>
        </w:rPr>
        <w:footnoteReference w:id="84"/>
      </w:r>
      <w:r w:rsidRPr="00F32E15">
        <w:rPr>
          <w:lang w:val="en-GB"/>
        </w:rPr>
        <w:t xml:space="preserve"> fosters the integration of existing resources, the coordination of the ministries in charge of education, work and higher education policies. It includes the elaboration of tools and implementation of forms of provision. It also aims at promoting educational processes that combine adult education and vocational education leading to a formal qualification through recognition of prior learning, and fostering processes and procedures that favour coherence in the intervention of local actors (both Qualify centres and adult educators), and in learners’ pathways (individualised and based on learners needs)</w:t>
      </w:r>
      <w:r w:rsidRPr="00772472">
        <w:rPr>
          <w:rStyle w:val="FootnoteReference"/>
        </w:rPr>
        <w:footnoteReference w:id="85"/>
      </w:r>
      <w:r w:rsidRPr="00F32E15">
        <w:rPr>
          <w:lang w:val="en-GB"/>
        </w:rPr>
        <w:t>.</w:t>
      </w:r>
    </w:p>
    <w:p w14:paraId="5283FE88" w14:textId="77777777" w:rsidR="00503DFE" w:rsidRPr="00F32E15" w:rsidRDefault="00503DFE" w:rsidP="00503DFE">
      <w:pPr>
        <w:pStyle w:val="Body"/>
        <w:rPr>
          <w:lang w:val="en-GB"/>
        </w:rPr>
      </w:pPr>
      <w:r w:rsidRPr="00F32E15">
        <w:rPr>
          <w:lang w:val="en-GB"/>
        </w:rPr>
        <w:t>Table 3.2 shows targets of broader economic policies that are linked to adult learning such as:</w:t>
      </w:r>
    </w:p>
    <w:p w14:paraId="2CC89B9F" w14:textId="77777777" w:rsidR="00503DFE" w:rsidRPr="00F32E15" w:rsidRDefault="00503DFE" w:rsidP="00503DFE">
      <w:pPr>
        <w:pStyle w:val="Body"/>
        <w:numPr>
          <w:ilvl w:val="0"/>
          <w:numId w:val="42"/>
        </w:numPr>
        <w:rPr>
          <w:lang w:val="en-GB"/>
        </w:rPr>
      </w:pPr>
      <w:r w:rsidRPr="00F32E15">
        <w:rPr>
          <w:lang w:val="en-GB"/>
        </w:rPr>
        <w:t>50% of working population holding secondary education by 2020;</w:t>
      </w:r>
    </w:p>
    <w:p w14:paraId="2706F20A" w14:textId="77777777" w:rsidR="00503DFE" w:rsidRPr="00F32E15" w:rsidRDefault="00503DFE" w:rsidP="00503DFE">
      <w:pPr>
        <w:pStyle w:val="Body"/>
        <w:numPr>
          <w:ilvl w:val="0"/>
          <w:numId w:val="42"/>
        </w:numPr>
        <w:rPr>
          <w:lang w:val="en-GB"/>
        </w:rPr>
      </w:pPr>
      <w:r w:rsidRPr="00F32E15">
        <w:rPr>
          <w:lang w:val="en-GB"/>
        </w:rPr>
        <w:t>15% of working adults participating in LLL by 2020;</w:t>
      </w:r>
    </w:p>
    <w:p w14:paraId="508023DA" w14:textId="77777777" w:rsidR="00503DFE" w:rsidRPr="00F32E15" w:rsidRDefault="00503DFE" w:rsidP="00503DFE">
      <w:pPr>
        <w:pStyle w:val="Body"/>
        <w:numPr>
          <w:ilvl w:val="0"/>
          <w:numId w:val="42"/>
        </w:numPr>
        <w:rPr>
          <w:lang w:val="en-GB"/>
        </w:rPr>
      </w:pPr>
      <w:r w:rsidRPr="00F32E15">
        <w:rPr>
          <w:lang w:val="en-GB"/>
        </w:rPr>
        <w:t>40% of people (aged 30-34 years old) holding a higher education degree by 2020;</w:t>
      </w:r>
    </w:p>
    <w:p w14:paraId="5EEC4134" w14:textId="77777777" w:rsidR="00503DFE" w:rsidRPr="00F32E15" w:rsidRDefault="00503DFE" w:rsidP="00503DFE">
      <w:pPr>
        <w:pStyle w:val="Body"/>
        <w:numPr>
          <w:ilvl w:val="0"/>
          <w:numId w:val="42"/>
        </w:numPr>
        <w:rPr>
          <w:lang w:val="en-GB"/>
        </w:rPr>
      </w:pPr>
      <w:r w:rsidRPr="00F32E15">
        <w:rPr>
          <w:lang w:val="en-GB"/>
        </w:rPr>
        <w:t>The opening of 300 Qualify centres.</w:t>
      </w:r>
    </w:p>
    <w:p w14:paraId="288E4E05" w14:textId="1A5A5669" w:rsidR="00503DFE" w:rsidRPr="00F32E15" w:rsidRDefault="00503DFE" w:rsidP="00324DC2">
      <w:pPr>
        <w:pStyle w:val="Body"/>
        <w:spacing w:after="120" w:afterAutospacing="0"/>
        <w:rPr>
          <w:lang w:val="en-GB"/>
        </w:rPr>
      </w:pPr>
      <w:r w:rsidRPr="00F32E15">
        <w:rPr>
          <w:lang w:val="en-GB"/>
        </w:rPr>
        <w:t>From these targets, only the last one referring to the opening of Qualify centres was already achieved.</w:t>
      </w:r>
    </w:p>
    <w:p w14:paraId="0E1ED7EF" w14:textId="77777777" w:rsidR="00503DFE" w:rsidRPr="00F32E15" w:rsidRDefault="00503DFE" w:rsidP="00324DC2">
      <w:pPr>
        <w:pStyle w:val="BodyText"/>
        <w:spacing w:after="0"/>
        <w:rPr>
          <w:b/>
          <w:lang w:val="en-GB"/>
        </w:rPr>
      </w:pPr>
      <w:r w:rsidRPr="00F32E15">
        <w:rPr>
          <w:b/>
          <w:lang w:val="en-GB"/>
        </w:rPr>
        <w:t xml:space="preserve">Table </w:t>
      </w:r>
      <w:r w:rsidRPr="00503DFE">
        <w:rPr>
          <w:b/>
        </w:rPr>
        <w:fldChar w:fldCharType="begin"/>
      </w:r>
      <w:r w:rsidRPr="00F32E15">
        <w:rPr>
          <w:b/>
          <w:lang w:val="en-GB"/>
        </w:rPr>
        <w:instrText xml:space="preserve"> STYLEREF 1 \s </w:instrText>
      </w:r>
      <w:r w:rsidRPr="00503DFE">
        <w:rPr>
          <w:b/>
        </w:rPr>
        <w:fldChar w:fldCharType="separate"/>
      </w:r>
      <w:r w:rsidRPr="00F32E15">
        <w:rPr>
          <w:b/>
          <w:lang w:val="en-GB"/>
        </w:rPr>
        <w:t>3</w:t>
      </w:r>
      <w:r w:rsidRPr="00503DFE">
        <w:rPr>
          <w:b/>
        </w:rPr>
        <w:fldChar w:fldCharType="end"/>
      </w:r>
      <w:r w:rsidRPr="00F32E15">
        <w:rPr>
          <w:b/>
          <w:lang w:val="en-GB"/>
        </w:rPr>
        <w:t>.</w:t>
      </w:r>
      <w:r w:rsidRPr="00503DFE">
        <w:rPr>
          <w:b/>
        </w:rPr>
        <w:fldChar w:fldCharType="begin"/>
      </w:r>
      <w:r w:rsidRPr="00F32E15">
        <w:rPr>
          <w:b/>
          <w:lang w:val="en-GB"/>
        </w:rPr>
        <w:instrText xml:space="preserve"> SEQ Table \* ARABIC \s 1 </w:instrText>
      </w:r>
      <w:r w:rsidRPr="00503DFE">
        <w:rPr>
          <w:b/>
        </w:rPr>
        <w:fldChar w:fldCharType="separate"/>
      </w:r>
      <w:r w:rsidRPr="00F32E15">
        <w:rPr>
          <w:b/>
          <w:lang w:val="en-GB"/>
        </w:rPr>
        <w:t>2</w:t>
      </w:r>
      <w:r w:rsidRPr="00503DFE">
        <w:rPr>
          <w:b/>
        </w:rPr>
        <w:fldChar w:fldCharType="end"/>
      </w:r>
      <w:r w:rsidRPr="00F32E15">
        <w:rPr>
          <w:b/>
          <w:lang w:val="en-GB"/>
        </w:rPr>
        <w:t xml:space="preserve">  Targets linked to Adult Learning in broader economic policies/LLL strategies/framework or implementing act (within Portugal 2020)</w:t>
      </w:r>
      <w:r w:rsidRPr="00503DFE">
        <w:rPr>
          <w:rStyle w:val="FootnoteReference"/>
          <w:b/>
        </w:rPr>
        <w:footnoteReference w:id="86"/>
      </w:r>
    </w:p>
    <w:tbl>
      <w:tblPr>
        <w:tblStyle w:val="ecTable"/>
        <w:tblW w:w="5000" w:type="pct"/>
        <w:tblLayout w:type="fixed"/>
        <w:tblLook w:val="0420" w:firstRow="1" w:lastRow="0" w:firstColumn="0" w:lastColumn="0" w:noHBand="0" w:noVBand="1"/>
      </w:tblPr>
      <w:tblGrid>
        <w:gridCol w:w="2253"/>
        <w:gridCol w:w="1437"/>
        <w:gridCol w:w="1682"/>
        <w:gridCol w:w="938"/>
        <w:gridCol w:w="2686"/>
      </w:tblGrid>
      <w:tr w:rsidR="00503DFE" w:rsidRPr="00324DC2" w14:paraId="270C3002" w14:textId="77777777" w:rsidTr="00324DC2">
        <w:trPr>
          <w:cnfStyle w:val="100000000000" w:firstRow="1" w:lastRow="0" w:firstColumn="0" w:lastColumn="0" w:oddVBand="0" w:evenVBand="0" w:oddHBand="0" w:evenHBand="0" w:firstRowFirstColumn="0" w:firstRowLastColumn="0" w:lastRowFirstColumn="0" w:lastRowLastColumn="0"/>
          <w:trHeight w:val="341"/>
        </w:trPr>
        <w:tc>
          <w:tcPr>
            <w:tcW w:w="3690" w:type="dxa"/>
            <w:gridSpan w:val="2"/>
            <w:noWrap/>
            <w:hideMark/>
          </w:tcPr>
          <w:p w14:paraId="504EA452" w14:textId="77777777" w:rsidR="00503DFE" w:rsidRPr="00324DC2" w:rsidRDefault="00503DFE" w:rsidP="00324DC2">
            <w:pPr>
              <w:pStyle w:val="Body"/>
              <w:spacing w:before="0" w:beforeAutospacing="0" w:after="0" w:afterAutospacing="0"/>
              <w:rPr>
                <w:sz w:val="16"/>
              </w:rPr>
            </w:pPr>
            <w:r w:rsidRPr="00324DC2">
              <w:rPr>
                <w:sz w:val="16"/>
              </w:rPr>
              <w:t>General information</w:t>
            </w:r>
          </w:p>
        </w:tc>
        <w:tc>
          <w:tcPr>
            <w:tcW w:w="5306" w:type="dxa"/>
            <w:gridSpan w:val="3"/>
            <w:noWrap/>
            <w:hideMark/>
          </w:tcPr>
          <w:p w14:paraId="7402B5FA" w14:textId="77777777" w:rsidR="00503DFE" w:rsidRPr="00324DC2" w:rsidRDefault="00503DFE" w:rsidP="00324DC2">
            <w:pPr>
              <w:pStyle w:val="Body"/>
              <w:spacing w:before="0" w:beforeAutospacing="0" w:after="0" w:afterAutospacing="0"/>
              <w:rPr>
                <w:sz w:val="16"/>
              </w:rPr>
            </w:pPr>
            <w:r w:rsidRPr="00324DC2">
              <w:rPr>
                <w:sz w:val="16"/>
              </w:rPr>
              <w:t xml:space="preserve">Progress toward target </w:t>
            </w:r>
          </w:p>
        </w:tc>
      </w:tr>
      <w:tr w:rsidR="00503DFE" w:rsidRPr="00F32E15" w14:paraId="5AFB104E" w14:textId="77777777" w:rsidTr="00324DC2">
        <w:trPr>
          <w:trHeight w:val="530"/>
        </w:trPr>
        <w:tc>
          <w:tcPr>
            <w:tcW w:w="2253" w:type="dxa"/>
            <w:hideMark/>
          </w:tcPr>
          <w:p w14:paraId="199A7DB1" w14:textId="77777777" w:rsidR="00503DFE" w:rsidRPr="00F32E15" w:rsidRDefault="00503DFE" w:rsidP="00324DC2">
            <w:pPr>
              <w:pStyle w:val="Body"/>
              <w:spacing w:before="0" w:beforeAutospacing="0" w:after="0" w:afterAutospacing="0"/>
              <w:rPr>
                <w:sz w:val="16"/>
                <w:lang w:val="en-GB"/>
              </w:rPr>
            </w:pPr>
            <w:r w:rsidRPr="00F32E15">
              <w:rPr>
                <w:sz w:val="16"/>
                <w:lang w:val="en-GB"/>
              </w:rPr>
              <w:t xml:space="preserve">Target (target figure and date to be achieved by) </w:t>
            </w:r>
          </w:p>
        </w:tc>
        <w:tc>
          <w:tcPr>
            <w:tcW w:w="1437" w:type="dxa"/>
            <w:hideMark/>
          </w:tcPr>
          <w:p w14:paraId="56D4B548" w14:textId="6A2192F5" w:rsidR="00503DFE" w:rsidRPr="00324DC2" w:rsidRDefault="00324DC2" w:rsidP="00324DC2">
            <w:pPr>
              <w:pStyle w:val="Body"/>
              <w:spacing w:before="0" w:beforeAutospacing="0" w:after="0" w:afterAutospacing="0"/>
              <w:rPr>
                <w:sz w:val="16"/>
              </w:rPr>
            </w:pPr>
            <w:r>
              <w:rPr>
                <w:sz w:val="16"/>
              </w:rPr>
              <w:t>Adoption date       (e.g.</w:t>
            </w:r>
            <w:r w:rsidR="00503DFE" w:rsidRPr="00324DC2">
              <w:rPr>
                <w:sz w:val="16"/>
              </w:rPr>
              <w:t>31/03/2018)</w:t>
            </w:r>
          </w:p>
        </w:tc>
        <w:tc>
          <w:tcPr>
            <w:tcW w:w="1682" w:type="dxa"/>
            <w:hideMark/>
          </w:tcPr>
          <w:p w14:paraId="393B7E06" w14:textId="77777777" w:rsidR="00503DFE" w:rsidRPr="00F32E15" w:rsidRDefault="00503DFE" w:rsidP="00324DC2">
            <w:pPr>
              <w:pStyle w:val="Body"/>
              <w:spacing w:before="0" w:beforeAutospacing="0" w:after="0" w:afterAutospacing="0"/>
              <w:rPr>
                <w:sz w:val="16"/>
                <w:lang w:val="en-GB"/>
              </w:rPr>
            </w:pPr>
            <w:r w:rsidRPr="00F32E15">
              <w:rPr>
                <w:sz w:val="16"/>
                <w:lang w:val="en-GB"/>
              </w:rPr>
              <w:t>Initial value (at date of adoption)</w:t>
            </w:r>
          </w:p>
        </w:tc>
        <w:tc>
          <w:tcPr>
            <w:tcW w:w="938" w:type="dxa"/>
            <w:hideMark/>
          </w:tcPr>
          <w:p w14:paraId="3A5E711D" w14:textId="77777777" w:rsidR="00503DFE" w:rsidRPr="00324DC2" w:rsidRDefault="00503DFE" w:rsidP="00324DC2">
            <w:pPr>
              <w:pStyle w:val="Body"/>
              <w:spacing w:before="0" w:beforeAutospacing="0" w:after="0" w:afterAutospacing="0"/>
              <w:rPr>
                <w:sz w:val="16"/>
              </w:rPr>
            </w:pPr>
            <w:r w:rsidRPr="00324DC2">
              <w:rPr>
                <w:sz w:val="16"/>
              </w:rPr>
              <w:t>Current value</w:t>
            </w:r>
          </w:p>
        </w:tc>
        <w:tc>
          <w:tcPr>
            <w:tcW w:w="2686" w:type="dxa"/>
          </w:tcPr>
          <w:p w14:paraId="54264392" w14:textId="77777777" w:rsidR="00503DFE" w:rsidRPr="00F32E15" w:rsidRDefault="00503DFE" w:rsidP="00324DC2">
            <w:pPr>
              <w:pStyle w:val="Body"/>
              <w:spacing w:before="0" w:beforeAutospacing="0" w:after="0" w:afterAutospacing="0"/>
              <w:rPr>
                <w:sz w:val="16"/>
                <w:lang w:val="en-GB"/>
              </w:rPr>
            </w:pPr>
            <w:r w:rsidRPr="00F32E15">
              <w:rPr>
                <w:sz w:val="16"/>
                <w:lang w:val="en-GB"/>
              </w:rPr>
              <w:t>Summary of progress against target</w:t>
            </w:r>
          </w:p>
        </w:tc>
      </w:tr>
      <w:tr w:rsidR="00503DFE" w:rsidRPr="00F32E15" w14:paraId="50AF6E0B" w14:textId="77777777" w:rsidTr="00324DC2">
        <w:trPr>
          <w:trHeight w:val="300"/>
        </w:trPr>
        <w:tc>
          <w:tcPr>
            <w:tcW w:w="2253" w:type="dxa"/>
            <w:hideMark/>
          </w:tcPr>
          <w:p w14:paraId="514103D4" w14:textId="79F369D6" w:rsidR="00503DFE" w:rsidRPr="00F32E15" w:rsidRDefault="00503DFE" w:rsidP="00324DC2">
            <w:pPr>
              <w:pStyle w:val="Body"/>
              <w:spacing w:before="0" w:beforeAutospacing="0" w:after="0" w:afterAutospacing="0"/>
              <w:rPr>
                <w:sz w:val="16"/>
                <w:lang w:val="en-GB"/>
              </w:rPr>
            </w:pPr>
            <w:r w:rsidRPr="00F32E15">
              <w:rPr>
                <w:sz w:val="16"/>
                <w:lang w:val="en-GB"/>
              </w:rPr>
              <w:t xml:space="preserve">50% of working population holding secondary education by 2020 </w:t>
            </w:r>
          </w:p>
          <w:p w14:paraId="24EDC3A4" w14:textId="66315E66" w:rsidR="00503DFE" w:rsidRPr="00F32E15" w:rsidRDefault="00503DFE" w:rsidP="00324DC2">
            <w:pPr>
              <w:pStyle w:val="Body"/>
              <w:spacing w:before="0" w:beforeAutospacing="0" w:after="0" w:afterAutospacing="0"/>
              <w:rPr>
                <w:sz w:val="16"/>
                <w:lang w:val="en-GB"/>
              </w:rPr>
            </w:pPr>
            <w:r w:rsidRPr="00F32E15">
              <w:rPr>
                <w:sz w:val="16"/>
                <w:lang w:val="en-GB"/>
              </w:rPr>
              <w:t>15% of working adults participating in LLL by 2020</w:t>
            </w:r>
          </w:p>
          <w:p w14:paraId="50774145" w14:textId="77777777" w:rsidR="00503DFE" w:rsidRPr="00F32E15" w:rsidRDefault="00503DFE" w:rsidP="00324DC2">
            <w:pPr>
              <w:pStyle w:val="Body"/>
              <w:spacing w:before="0" w:beforeAutospacing="0" w:after="0" w:afterAutospacing="0"/>
              <w:rPr>
                <w:sz w:val="16"/>
                <w:lang w:val="en-GB"/>
              </w:rPr>
            </w:pPr>
            <w:r w:rsidRPr="00F32E15">
              <w:rPr>
                <w:sz w:val="16"/>
                <w:lang w:val="en-GB"/>
              </w:rPr>
              <w:t>40% of people (aged 30-34 years old) holding a higher education degree by 2020</w:t>
            </w:r>
          </w:p>
          <w:p w14:paraId="0A0FD3FA" w14:textId="77777777" w:rsidR="00503DFE" w:rsidRPr="00324DC2" w:rsidRDefault="00503DFE" w:rsidP="00324DC2">
            <w:pPr>
              <w:pStyle w:val="Body"/>
              <w:spacing w:before="0" w:beforeAutospacing="0" w:after="0" w:afterAutospacing="0"/>
              <w:rPr>
                <w:sz w:val="16"/>
              </w:rPr>
            </w:pPr>
            <w:r w:rsidRPr="00324DC2">
              <w:rPr>
                <w:sz w:val="16"/>
              </w:rPr>
              <w:t>Opening of Centros Qualifica</w:t>
            </w:r>
          </w:p>
        </w:tc>
        <w:tc>
          <w:tcPr>
            <w:tcW w:w="1437" w:type="dxa"/>
            <w:hideMark/>
          </w:tcPr>
          <w:p w14:paraId="1C43E47B" w14:textId="69FFEE76" w:rsidR="00503DFE" w:rsidRPr="00324DC2" w:rsidRDefault="00503DFE" w:rsidP="00324DC2">
            <w:pPr>
              <w:pStyle w:val="Body"/>
              <w:spacing w:before="0" w:beforeAutospacing="0" w:after="0" w:afterAutospacing="0"/>
              <w:rPr>
                <w:sz w:val="16"/>
              </w:rPr>
            </w:pPr>
            <w:r w:rsidRPr="00324DC2">
              <w:rPr>
                <w:sz w:val="16"/>
              </w:rPr>
              <w:t>2014</w:t>
            </w:r>
          </w:p>
          <w:p w14:paraId="73A1012C" w14:textId="77777777" w:rsidR="00503DFE" w:rsidRPr="00324DC2" w:rsidRDefault="00503DFE" w:rsidP="00324DC2">
            <w:pPr>
              <w:pStyle w:val="Body"/>
              <w:spacing w:before="0" w:beforeAutospacing="0" w:after="0" w:afterAutospacing="0"/>
              <w:rPr>
                <w:sz w:val="16"/>
              </w:rPr>
            </w:pPr>
          </w:p>
          <w:p w14:paraId="02B6E18F" w14:textId="77777777" w:rsidR="00503DFE" w:rsidRPr="00324DC2" w:rsidRDefault="00503DFE" w:rsidP="00324DC2">
            <w:pPr>
              <w:pStyle w:val="Body"/>
              <w:spacing w:before="0" w:beforeAutospacing="0" w:after="0" w:afterAutospacing="0"/>
              <w:rPr>
                <w:sz w:val="16"/>
              </w:rPr>
            </w:pPr>
          </w:p>
          <w:p w14:paraId="62BEC0BF" w14:textId="77777777" w:rsidR="00324DC2" w:rsidRDefault="00324DC2" w:rsidP="00324DC2">
            <w:pPr>
              <w:pStyle w:val="Body"/>
              <w:spacing w:before="0" w:beforeAutospacing="0" w:after="0" w:afterAutospacing="0"/>
              <w:rPr>
                <w:sz w:val="16"/>
              </w:rPr>
            </w:pPr>
          </w:p>
          <w:p w14:paraId="3CF7E611" w14:textId="56CBC7D9" w:rsidR="00503DFE" w:rsidRPr="00324DC2" w:rsidRDefault="00503DFE" w:rsidP="00324DC2">
            <w:pPr>
              <w:pStyle w:val="Body"/>
              <w:spacing w:before="0" w:beforeAutospacing="0" w:after="0" w:afterAutospacing="0"/>
              <w:rPr>
                <w:sz w:val="16"/>
              </w:rPr>
            </w:pPr>
            <w:r w:rsidRPr="00324DC2">
              <w:rPr>
                <w:sz w:val="16"/>
              </w:rPr>
              <w:t>2014</w:t>
            </w:r>
          </w:p>
          <w:p w14:paraId="0D420016" w14:textId="77777777" w:rsidR="00503DFE" w:rsidRPr="00324DC2" w:rsidRDefault="00503DFE" w:rsidP="00324DC2">
            <w:pPr>
              <w:pStyle w:val="Body"/>
              <w:spacing w:before="0" w:beforeAutospacing="0" w:after="0" w:afterAutospacing="0"/>
              <w:rPr>
                <w:sz w:val="16"/>
              </w:rPr>
            </w:pPr>
          </w:p>
          <w:p w14:paraId="33CF1C26" w14:textId="77777777" w:rsidR="00324DC2" w:rsidRDefault="00324DC2" w:rsidP="00324DC2">
            <w:pPr>
              <w:pStyle w:val="Body"/>
              <w:spacing w:before="0" w:beforeAutospacing="0" w:after="0" w:afterAutospacing="0"/>
              <w:rPr>
                <w:sz w:val="16"/>
              </w:rPr>
            </w:pPr>
          </w:p>
          <w:p w14:paraId="3809F14F" w14:textId="15CB502A" w:rsidR="00503DFE" w:rsidRPr="00324DC2" w:rsidRDefault="00503DFE" w:rsidP="00324DC2">
            <w:pPr>
              <w:pStyle w:val="Body"/>
              <w:spacing w:before="0" w:beforeAutospacing="0" w:after="0" w:afterAutospacing="0"/>
              <w:rPr>
                <w:sz w:val="16"/>
              </w:rPr>
            </w:pPr>
            <w:r w:rsidRPr="00324DC2">
              <w:rPr>
                <w:sz w:val="16"/>
              </w:rPr>
              <w:t>2014</w:t>
            </w:r>
          </w:p>
          <w:p w14:paraId="707B28B5" w14:textId="77777777" w:rsidR="00503DFE" w:rsidRPr="00324DC2" w:rsidRDefault="00503DFE" w:rsidP="00324DC2">
            <w:pPr>
              <w:pStyle w:val="Body"/>
              <w:spacing w:before="0" w:beforeAutospacing="0" w:after="0" w:afterAutospacing="0"/>
              <w:rPr>
                <w:sz w:val="16"/>
              </w:rPr>
            </w:pPr>
          </w:p>
          <w:p w14:paraId="225D4FCF" w14:textId="77777777" w:rsidR="00324DC2" w:rsidRDefault="00324DC2" w:rsidP="00324DC2">
            <w:pPr>
              <w:pStyle w:val="Body"/>
              <w:spacing w:before="0" w:beforeAutospacing="0" w:after="0" w:afterAutospacing="0"/>
              <w:rPr>
                <w:sz w:val="16"/>
              </w:rPr>
            </w:pPr>
          </w:p>
          <w:p w14:paraId="7D3AC683" w14:textId="77777777" w:rsidR="00324DC2" w:rsidRDefault="00324DC2" w:rsidP="00324DC2">
            <w:pPr>
              <w:pStyle w:val="Body"/>
              <w:spacing w:before="0" w:beforeAutospacing="0" w:after="0" w:afterAutospacing="0"/>
              <w:rPr>
                <w:sz w:val="16"/>
              </w:rPr>
            </w:pPr>
          </w:p>
          <w:p w14:paraId="3FD58CC2" w14:textId="0BEC2457" w:rsidR="00503DFE" w:rsidRPr="00324DC2" w:rsidRDefault="00503DFE" w:rsidP="00324DC2">
            <w:pPr>
              <w:pStyle w:val="Body"/>
              <w:spacing w:before="0" w:beforeAutospacing="0" w:after="0" w:afterAutospacing="0"/>
              <w:rPr>
                <w:sz w:val="16"/>
              </w:rPr>
            </w:pPr>
            <w:r w:rsidRPr="00324DC2">
              <w:rPr>
                <w:sz w:val="16"/>
              </w:rPr>
              <w:t>2017</w:t>
            </w:r>
          </w:p>
        </w:tc>
        <w:tc>
          <w:tcPr>
            <w:tcW w:w="1682" w:type="dxa"/>
            <w:hideMark/>
          </w:tcPr>
          <w:p w14:paraId="7E85C29E" w14:textId="77777777" w:rsidR="00503DFE" w:rsidRPr="00324DC2" w:rsidRDefault="00503DFE" w:rsidP="00324DC2">
            <w:pPr>
              <w:pStyle w:val="Body"/>
              <w:spacing w:before="0" w:beforeAutospacing="0" w:after="0" w:afterAutospacing="0"/>
              <w:rPr>
                <w:sz w:val="16"/>
              </w:rPr>
            </w:pPr>
            <w:r w:rsidRPr="00324DC2">
              <w:rPr>
                <w:sz w:val="16"/>
              </w:rPr>
              <w:t> 43.3%</w:t>
            </w:r>
          </w:p>
          <w:p w14:paraId="6C8826ED" w14:textId="77777777" w:rsidR="00503DFE" w:rsidRPr="00324DC2" w:rsidRDefault="00503DFE" w:rsidP="00324DC2">
            <w:pPr>
              <w:pStyle w:val="Body"/>
              <w:spacing w:before="0" w:beforeAutospacing="0" w:after="0" w:afterAutospacing="0"/>
              <w:rPr>
                <w:sz w:val="16"/>
              </w:rPr>
            </w:pPr>
          </w:p>
          <w:p w14:paraId="3E4A31EE" w14:textId="77777777" w:rsidR="00503DFE" w:rsidRPr="00324DC2" w:rsidRDefault="00503DFE" w:rsidP="00324DC2">
            <w:pPr>
              <w:pStyle w:val="Body"/>
              <w:spacing w:before="0" w:beforeAutospacing="0" w:after="0" w:afterAutospacing="0"/>
              <w:rPr>
                <w:sz w:val="16"/>
              </w:rPr>
            </w:pPr>
          </w:p>
          <w:p w14:paraId="3AF83017" w14:textId="77777777" w:rsidR="00324DC2" w:rsidRDefault="00324DC2" w:rsidP="00324DC2">
            <w:pPr>
              <w:pStyle w:val="Body"/>
              <w:spacing w:before="0" w:beforeAutospacing="0" w:after="0" w:afterAutospacing="0"/>
              <w:rPr>
                <w:sz w:val="16"/>
              </w:rPr>
            </w:pPr>
          </w:p>
          <w:p w14:paraId="3F6A5D97" w14:textId="23C0EAB0" w:rsidR="00503DFE" w:rsidRPr="00324DC2" w:rsidRDefault="00503DFE" w:rsidP="00324DC2">
            <w:pPr>
              <w:pStyle w:val="Body"/>
              <w:spacing w:before="0" w:beforeAutospacing="0" w:after="0" w:afterAutospacing="0"/>
              <w:rPr>
                <w:sz w:val="16"/>
              </w:rPr>
            </w:pPr>
            <w:r w:rsidRPr="00324DC2">
              <w:rPr>
                <w:sz w:val="16"/>
              </w:rPr>
              <w:t>9.6%</w:t>
            </w:r>
          </w:p>
          <w:p w14:paraId="6E95336F" w14:textId="77777777" w:rsidR="00503DFE" w:rsidRPr="00324DC2" w:rsidRDefault="00503DFE" w:rsidP="00324DC2">
            <w:pPr>
              <w:pStyle w:val="Body"/>
              <w:spacing w:before="0" w:beforeAutospacing="0" w:after="0" w:afterAutospacing="0"/>
              <w:rPr>
                <w:sz w:val="16"/>
              </w:rPr>
            </w:pPr>
          </w:p>
          <w:p w14:paraId="464480A8" w14:textId="2D3240EE" w:rsidR="00324DC2" w:rsidRDefault="00324DC2" w:rsidP="00324DC2">
            <w:pPr>
              <w:pStyle w:val="Body"/>
              <w:spacing w:before="0" w:beforeAutospacing="0" w:after="0" w:afterAutospacing="0"/>
              <w:rPr>
                <w:sz w:val="16"/>
              </w:rPr>
            </w:pPr>
          </w:p>
          <w:p w14:paraId="44088A1F" w14:textId="41F6A5DC" w:rsidR="00324DC2" w:rsidRDefault="00503DFE" w:rsidP="00324DC2">
            <w:pPr>
              <w:pStyle w:val="Body"/>
              <w:spacing w:before="0" w:beforeAutospacing="0" w:after="0" w:afterAutospacing="0"/>
              <w:rPr>
                <w:sz w:val="16"/>
              </w:rPr>
            </w:pPr>
            <w:r w:rsidRPr="00324DC2">
              <w:rPr>
                <w:sz w:val="16"/>
              </w:rPr>
              <w:t>27.2% (2012)</w:t>
            </w:r>
          </w:p>
          <w:p w14:paraId="1707CCC3" w14:textId="77777777" w:rsidR="00324DC2" w:rsidRDefault="00324DC2" w:rsidP="00324DC2">
            <w:pPr>
              <w:pStyle w:val="Body"/>
              <w:spacing w:before="0" w:beforeAutospacing="0" w:after="0" w:afterAutospacing="0"/>
              <w:rPr>
                <w:sz w:val="16"/>
              </w:rPr>
            </w:pPr>
          </w:p>
          <w:p w14:paraId="0D182126" w14:textId="77777777" w:rsidR="00324DC2" w:rsidRDefault="00324DC2" w:rsidP="00324DC2">
            <w:pPr>
              <w:pStyle w:val="Body"/>
              <w:spacing w:before="0" w:beforeAutospacing="0" w:after="0" w:afterAutospacing="0"/>
              <w:rPr>
                <w:sz w:val="16"/>
              </w:rPr>
            </w:pPr>
          </w:p>
          <w:p w14:paraId="5D8E3BF7" w14:textId="77777777" w:rsidR="00324DC2" w:rsidRDefault="00324DC2" w:rsidP="00324DC2">
            <w:pPr>
              <w:pStyle w:val="Body"/>
              <w:spacing w:before="0" w:beforeAutospacing="0" w:after="0" w:afterAutospacing="0"/>
              <w:rPr>
                <w:sz w:val="16"/>
              </w:rPr>
            </w:pPr>
          </w:p>
          <w:p w14:paraId="74038205" w14:textId="2F6C01CF" w:rsidR="00503DFE" w:rsidRPr="00324DC2" w:rsidRDefault="00503DFE" w:rsidP="00324DC2">
            <w:pPr>
              <w:pStyle w:val="Body"/>
              <w:spacing w:before="0" w:beforeAutospacing="0" w:after="0" w:afterAutospacing="0"/>
              <w:rPr>
                <w:sz w:val="16"/>
              </w:rPr>
            </w:pPr>
            <w:r w:rsidRPr="00324DC2">
              <w:rPr>
                <w:sz w:val="16"/>
              </w:rPr>
              <w:t>300</w:t>
            </w:r>
          </w:p>
        </w:tc>
        <w:tc>
          <w:tcPr>
            <w:tcW w:w="938" w:type="dxa"/>
            <w:hideMark/>
          </w:tcPr>
          <w:p w14:paraId="459FEBB5" w14:textId="77777777" w:rsidR="00503DFE" w:rsidRPr="00324DC2" w:rsidRDefault="00503DFE" w:rsidP="00324DC2">
            <w:pPr>
              <w:pStyle w:val="Body"/>
              <w:spacing w:before="0" w:beforeAutospacing="0" w:after="0" w:afterAutospacing="0"/>
              <w:rPr>
                <w:sz w:val="16"/>
              </w:rPr>
            </w:pPr>
            <w:r w:rsidRPr="00324DC2">
              <w:rPr>
                <w:sz w:val="16"/>
              </w:rPr>
              <w:t> 46.9% (2016)</w:t>
            </w:r>
            <w:r w:rsidRPr="00324DC2">
              <w:rPr>
                <w:rStyle w:val="FootnoteReference"/>
                <w:sz w:val="16"/>
              </w:rPr>
              <w:footnoteReference w:id="87"/>
            </w:r>
          </w:p>
          <w:p w14:paraId="23225C31" w14:textId="77777777" w:rsidR="00503DFE" w:rsidRPr="00324DC2" w:rsidRDefault="00503DFE" w:rsidP="00324DC2">
            <w:pPr>
              <w:pStyle w:val="Body"/>
              <w:spacing w:before="0" w:beforeAutospacing="0" w:after="0" w:afterAutospacing="0"/>
              <w:rPr>
                <w:sz w:val="16"/>
              </w:rPr>
            </w:pPr>
          </w:p>
          <w:p w14:paraId="2FC5ED35" w14:textId="77777777" w:rsidR="00324DC2" w:rsidRDefault="00324DC2" w:rsidP="00324DC2">
            <w:pPr>
              <w:pStyle w:val="Body"/>
              <w:spacing w:before="0" w:beforeAutospacing="0" w:after="0" w:afterAutospacing="0"/>
              <w:rPr>
                <w:sz w:val="16"/>
              </w:rPr>
            </w:pPr>
          </w:p>
          <w:p w14:paraId="78378AAE" w14:textId="274C28CC" w:rsidR="00503DFE" w:rsidRPr="00324DC2" w:rsidRDefault="00503DFE" w:rsidP="00324DC2">
            <w:pPr>
              <w:pStyle w:val="Body"/>
              <w:spacing w:before="0" w:beforeAutospacing="0" w:after="0" w:afterAutospacing="0"/>
              <w:rPr>
                <w:sz w:val="16"/>
              </w:rPr>
            </w:pPr>
            <w:r w:rsidRPr="00324DC2">
              <w:rPr>
                <w:sz w:val="16"/>
              </w:rPr>
              <w:t>9.6%</w:t>
            </w:r>
            <w:r w:rsidRPr="00324DC2">
              <w:rPr>
                <w:rStyle w:val="FootnoteReference"/>
                <w:sz w:val="16"/>
              </w:rPr>
              <w:footnoteReference w:id="88"/>
            </w:r>
          </w:p>
          <w:p w14:paraId="05D02EF9" w14:textId="77777777" w:rsidR="00503DFE" w:rsidRPr="00324DC2" w:rsidRDefault="00503DFE" w:rsidP="00324DC2">
            <w:pPr>
              <w:pStyle w:val="Body"/>
              <w:spacing w:before="0" w:beforeAutospacing="0" w:after="0" w:afterAutospacing="0"/>
              <w:rPr>
                <w:sz w:val="16"/>
              </w:rPr>
            </w:pPr>
          </w:p>
          <w:p w14:paraId="16C83843" w14:textId="77777777" w:rsidR="00324DC2" w:rsidRDefault="00324DC2" w:rsidP="00324DC2">
            <w:pPr>
              <w:pStyle w:val="Body"/>
              <w:spacing w:before="0" w:beforeAutospacing="0" w:after="0" w:afterAutospacing="0"/>
              <w:rPr>
                <w:sz w:val="16"/>
              </w:rPr>
            </w:pPr>
          </w:p>
          <w:p w14:paraId="1EA6C061" w14:textId="0CD65D5C" w:rsidR="00503DFE" w:rsidRPr="00324DC2" w:rsidRDefault="00503DFE" w:rsidP="00324DC2">
            <w:pPr>
              <w:pStyle w:val="Body"/>
              <w:spacing w:before="0" w:beforeAutospacing="0" w:after="0" w:afterAutospacing="0"/>
              <w:rPr>
                <w:sz w:val="16"/>
              </w:rPr>
            </w:pPr>
            <w:r w:rsidRPr="00324DC2">
              <w:rPr>
                <w:sz w:val="16"/>
              </w:rPr>
              <w:t>31.9%</w:t>
            </w:r>
            <w:r w:rsidRPr="00324DC2">
              <w:rPr>
                <w:rStyle w:val="FootnoteReference"/>
                <w:sz w:val="16"/>
              </w:rPr>
              <w:footnoteReference w:id="89"/>
            </w:r>
          </w:p>
          <w:p w14:paraId="7E2F0C5F" w14:textId="77777777" w:rsidR="00503DFE" w:rsidRPr="00324DC2" w:rsidRDefault="00503DFE" w:rsidP="00324DC2">
            <w:pPr>
              <w:pStyle w:val="Body"/>
              <w:spacing w:before="0" w:beforeAutospacing="0" w:after="0" w:afterAutospacing="0"/>
              <w:rPr>
                <w:sz w:val="16"/>
              </w:rPr>
            </w:pPr>
          </w:p>
          <w:p w14:paraId="5E8210FF" w14:textId="77777777" w:rsidR="00324DC2" w:rsidRDefault="00324DC2" w:rsidP="00324DC2">
            <w:pPr>
              <w:pStyle w:val="Body"/>
              <w:spacing w:before="0" w:beforeAutospacing="0" w:after="0" w:afterAutospacing="0"/>
              <w:rPr>
                <w:sz w:val="16"/>
              </w:rPr>
            </w:pPr>
          </w:p>
          <w:p w14:paraId="0DC3E2D5" w14:textId="77777777" w:rsidR="00324DC2" w:rsidRDefault="00324DC2" w:rsidP="00324DC2">
            <w:pPr>
              <w:pStyle w:val="Body"/>
              <w:spacing w:before="0" w:beforeAutospacing="0" w:after="0" w:afterAutospacing="0"/>
              <w:rPr>
                <w:sz w:val="16"/>
              </w:rPr>
            </w:pPr>
          </w:p>
          <w:p w14:paraId="6DFA8F1F" w14:textId="297878ED" w:rsidR="00503DFE" w:rsidRPr="00324DC2" w:rsidRDefault="00503DFE" w:rsidP="00324DC2">
            <w:pPr>
              <w:pStyle w:val="Body"/>
              <w:spacing w:before="0" w:beforeAutospacing="0" w:after="0" w:afterAutospacing="0"/>
              <w:rPr>
                <w:sz w:val="16"/>
              </w:rPr>
            </w:pPr>
            <w:r w:rsidRPr="00324DC2">
              <w:rPr>
                <w:sz w:val="16"/>
              </w:rPr>
              <w:t>300</w:t>
            </w:r>
            <w:r w:rsidRPr="00324DC2">
              <w:rPr>
                <w:rStyle w:val="FootnoteReference"/>
                <w:sz w:val="16"/>
              </w:rPr>
              <w:footnoteReference w:id="90"/>
            </w:r>
          </w:p>
        </w:tc>
        <w:tc>
          <w:tcPr>
            <w:tcW w:w="2686" w:type="dxa"/>
          </w:tcPr>
          <w:p w14:paraId="405186C8" w14:textId="77777777" w:rsidR="00503DFE" w:rsidRPr="00F32E15" w:rsidRDefault="00503DFE" w:rsidP="00324DC2">
            <w:pPr>
              <w:pStyle w:val="Body"/>
              <w:spacing w:before="0" w:beforeAutospacing="0" w:after="0" w:afterAutospacing="0"/>
              <w:rPr>
                <w:sz w:val="16"/>
                <w:lang w:val="en-GB"/>
              </w:rPr>
            </w:pPr>
            <w:r w:rsidRPr="00F32E15">
              <w:rPr>
                <w:sz w:val="16"/>
                <w:lang w:val="en-GB"/>
              </w:rPr>
              <w:t>The target for beneficiaries is still far from 50%, although important efforts have been achieved in this field (within Portugal2020).</w:t>
            </w:r>
          </w:p>
          <w:p w14:paraId="12AC7D80" w14:textId="77777777" w:rsidR="00503DFE" w:rsidRPr="00F32E15" w:rsidRDefault="00503DFE" w:rsidP="00324DC2">
            <w:pPr>
              <w:pStyle w:val="Body"/>
              <w:spacing w:before="0" w:beforeAutospacing="0" w:after="0" w:afterAutospacing="0"/>
              <w:rPr>
                <w:sz w:val="16"/>
                <w:lang w:val="en-GB"/>
              </w:rPr>
            </w:pPr>
            <w:r w:rsidRPr="00F32E15">
              <w:rPr>
                <w:sz w:val="16"/>
                <w:lang w:val="en-GB"/>
              </w:rPr>
              <w:t>This target is far from being achieved, although existing efforts (within Portugal2020 and Qualify programme).</w:t>
            </w:r>
          </w:p>
          <w:p w14:paraId="7E575EFA" w14:textId="77777777" w:rsidR="00503DFE" w:rsidRPr="00F32E15" w:rsidRDefault="00503DFE" w:rsidP="00324DC2">
            <w:pPr>
              <w:pStyle w:val="Body"/>
              <w:spacing w:before="0" w:beforeAutospacing="0" w:after="0" w:afterAutospacing="0"/>
              <w:rPr>
                <w:sz w:val="16"/>
                <w:lang w:val="en-GB"/>
              </w:rPr>
            </w:pPr>
            <w:r w:rsidRPr="00F32E15">
              <w:rPr>
                <w:sz w:val="16"/>
                <w:lang w:val="en-GB"/>
              </w:rPr>
              <w:t>This target is still far to be achieved, although efforts done by the Government (within Portugal 2020).</w:t>
            </w:r>
          </w:p>
          <w:p w14:paraId="78E3A7F6" w14:textId="77777777" w:rsidR="00503DFE" w:rsidRPr="00F32E15" w:rsidRDefault="00503DFE" w:rsidP="00324DC2">
            <w:pPr>
              <w:pStyle w:val="Body"/>
              <w:spacing w:before="0" w:beforeAutospacing="0" w:after="0" w:afterAutospacing="0"/>
              <w:rPr>
                <w:sz w:val="16"/>
                <w:lang w:val="en-GB"/>
              </w:rPr>
            </w:pPr>
            <w:r w:rsidRPr="00F32E15">
              <w:rPr>
                <w:sz w:val="16"/>
                <w:lang w:val="en-GB"/>
              </w:rPr>
              <w:t xml:space="preserve">Within the Qualify programme, the target was achieved. </w:t>
            </w:r>
          </w:p>
        </w:tc>
      </w:tr>
    </w:tbl>
    <w:p w14:paraId="5A6BAAAF" w14:textId="77777777" w:rsidR="00503DFE" w:rsidRPr="004B4C12" w:rsidRDefault="00503DFE" w:rsidP="00F41B98">
      <w:pPr>
        <w:pStyle w:val="Heading2"/>
      </w:pPr>
      <w:bookmarkStart w:id="31" w:name="_Toc491862499"/>
      <w:r w:rsidRPr="004B4C12">
        <w:lastRenderedPageBreak/>
        <w:t>Quality assurance</w:t>
      </w:r>
      <w:bookmarkEnd w:id="31"/>
      <w:r w:rsidRPr="004B4C12">
        <w:t xml:space="preserve"> </w:t>
      </w:r>
    </w:p>
    <w:p w14:paraId="6F7FD230" w14:textId="77777777" w:rsidR="00503DFE" w:rsidRPr="00F32E15" w:rsidRDefault="00503DFE" w:rsidP="00503DFE">
      <w:pPr>
        <w:pStyle w:val="Body"/>
        <w:rPr>
          <w:lang w:val="en-GB"/>
        </w:rPr>
      </w:pPr>
      <w:r w:rsidRPr="00F32E15">
        <w:rPr>
          <w:lang w:val="en-GB"/>
        </w:rPr>
        <w:t>Several quality assurance procedures exist. In what refers to formal second-chance education the general law of the education system from 1986 refers to formal second-chance education (basic and secondary education) that leads to a school certification (of 9th or 12th years of school education). This provision can be found in regular schools and vocational training schools and centres. Adult basic and secondary education is provided by State-funded (public or private) schools. Compulsory education (basic and secondary education)</w:t>
      </w:r>
      <w:r w:rsidRPr="004B4C12">
        <w:rPr>
          <w:rStyle w:val="FootnoteReference"/>
        </w:rPr>
        <w:footnoteReference w:id="91"/>
      </w:r>
      <w:r w:rsidRPr="00F32E15">
        <w:rPr>
          <w:lang w:val="en-GB"/>
        </w:rPr>
        <w:t xml:space="preserve"> comprises 12 years of school education. In formal second-chance education traditional school subjects are approached. Schools are the object of quality assurance measures, including these that involve student achievement, teacher performance (professional performance) and school performance (monitoring processes implemented by the Ministry of Education services and departments).</w:t>
      </w:r>
    </w:p>
    <w:p w14:paraId="15AF7ABE" w14:textId="77777777" w:rsidR="00503DFE" w:rsidRPr="00F32E15" w:rsidRDefault="00503DFE" w:rsidP="00503DFE">
      <w:pPr>
        <w:pStyle w:val="Body"/>
        <w:rPr>
          <w:lang w:val="en-GB"/>
        </w:rPr>
      </w:pPr>
      <w:r w:rsidRPr="00F32E15">
        <w:rPr>
          <w:lang w:val="en-GB"/>
        </w:rPr>
        <w:t xml:space="preserve">The Qualify centres have their own quality assurance processes, concerning the performance of the centre itself, namely targets that each centre has to </w:t>
      </w:r>
      <w:proofErr w:type="gramStart"/>
      <w:r w:rsidRPr="00F32E15">
        <w:rPr>
          <w:lang w:val="en-GB"/>
        </w:rPr>
        <w:t>achieved</w:t>
      </w:r>
      <w:proofErr w:type="gramEnd"/>
      <w:r w:rsidRPr="00F32E15">
        <w:rPr>
          <w:lang w:val="en-GB"/>
        </w:rPr>
        <w:t xml:space="preserve"> during a specific period, adult educators/professional development assessment established by and for each centre, and recognition of prior learning quality assurance. Recognition of prior learning involves validating non-formal and informal learning through an assessment taken by adult learners. Assessment is carried out by a jury which includes people who are locally and socially recognised and are not directly involved in recognition of prior learning and by several experts from a professional field in the case of recognition of prior learning directed at professional recognition. Additionally, quality assurance measures to support assessment methodologies are carried out when the electronic platform makes available most information concerning recognition of prior learning (such as general information on learners, adult learners’ enrolment, participation in education and training, etc.) for adult educators and trainers and other staff working in these Qualify centres. Besides, the National Agency for Qualification and Vocational Education and Training has produced and disseminated a set of methodological guidelines and a guidance for quality assurance in the Qualify centres. According to the existing legislation, annual reports on quality assurance referring to recognition of prior (of school certification and professional certification) would have to be made public, but these reports are not in the public domain</w:t>
      </w:r>
      <w:r w:rsidRPr="004B4C12">
        <w:rPr>
          <w:rStyle w:val="FootnoteReference"/>
        </w:rPr>
        <w:footnoteReference w:id="92"/>
      </w:r>
      <w:r w:rsidRPr="00F32E15">
        <w:rPr>
          <w:lang w:val="en-GB"/>
        </w:rPr>
        <w:t>.</w:t>
      </w:r>
    </w:p>
    <w:p w14:paraId="080495E1" w14:textId="77777777" w:rsidR="00503DFE" w:rsidRPr="00F32E15" w:rsidRDefault="00503DFE" w:rsidP="00503DFE">
      <w:pPr>
        <w:pStyle w:val="Body"/>
        <w:rPr>
          <w:rFonts w:eastAsiaTheme="minorHAnsi"/>
          <w:lang w:val="en-GB"/>
        </w:rPr>
      </w:pPr>
      <w:r w:rsidRPr="00F32E15">
        <w:rPr>
          <w:lang w:val="en-GB"/>
        </w:rPr>
        <w:t>In higher education institutions, the quality assurance of existing forms of provision depends on each institution. Therefore, a large variety of practices can be found, as mentioned previously in this document. The national agency for evaluation and accreditation of higher education</w:t>
      </w:r>
      <w:r w:rsidRPr="004B4C12">
        <w:rPr>
          <w:rStyle w:val="FootnoteReference"/>
        </w:rPr>
        <w:footnoteReference w:id="93"/>
      </w:r>
      <w:r w:rsidRPr="00F32E15">
        <w:rPr>
          <w:lang w:val="en-GB"/>
        </w:rPr>
        <w:t xml:space="preserve"> has several quality assurance procedures that are followed by higher education institutions. The main objective of this agency is to improve the performance of higher education institutions and their study programmes and to guarantee the fulfilment of the basic requirements for their official recognition. </w:t>
      </w:r>
      <w:r w:rsidRPr="00F32E15">
        <w:rPr>
          <w:rFonts w:eastAsiaTheme="minorHAnsi"/>
          <w:lang w:val="en-GB"/>
        </w:rPr>
        <w:t xml:space="preserve">This aim is </w:t>
      </w:r>
      <w:r w:rsidRPr="00F32E15">
        <w:rPr>
          <w:rFonts w:eastAsiaTheme="minorHAnsi"/>
          <w:lang w:val="en-GB"/>
        </w:rPr>
        <w:lastRenderedPageBreak/>
        <w:t xml:space="preserve">pursued through the assessment and accreditation activities carried out, and the promotion of an internal quality assurance within higher education institutions. </w:t>
      </w:r>
    </w:p>
    <w:p w14:paraId="32F69DD3" w14:textId="637AEA80" w:rsidR="00503DFE" w:rsidRPr="00F32E15" w:rsidRDefault="00503DFE" w:rsidP="00503DFE">
      <w:pPr>
        <w:pStyle w:val="Body"/>
        <w:rPr>
          <w:lang w:val="en-GB"/>
        </w:rPr>
      </w:pPr>
      <w:r w:rsidRPr="00F32E15">
        <w:rPr>
          <w:rFonts w:eastAsiaTheme="minorHAnsi"/>
          <w:lang w:val="en-GB"/>
        </w:rPr>
        <w:t>The objectives of this agency include: “</w:t>
      </w:r>
      <w:r w:rsidRPr="00F32E15">
        <w:rPr>
          <w:lang w:val="en-GB"/>
        </w:rPr>
        <w:t xml:space="preserve">to </w:t>
      </w:r>
      <w:r w:rsidRPr="00F32E15">
        <w:rPr>
          <w:rFonts w:eastAsiaTheme="minorHAnsi"/>
          <w:lang w:val="en-GB"/>
        </w:rPr>
        <w:t xml:space="preserve"> develop the quality assessment of the performance of higher education institutions and their study programmes;</w:t>
      </w:r>
      <w:r w:rsidRPr="00F32E15">
        <w:rPr>
          <w:lang w:val="en-GB"/>
        </w:rPr>
        <w:t xml:space="preserve"> to </w:t>
      </w:r>
      <w:r w:rsidRPr="00F32E15">
        <w:rPr>
          <w:rFonts w:eastAsiaTheme="minorHAnsi"/>
          <w:lang w:val="en-GB"/>
        </w:rPr>
        <w:t>determine the accreditation criteria in order to translate their results into qualitative appreciations, as well as to define the consequences of assessment for the operation of study programmes and institutions;</w:t>
      </w:r>
      <w:r w:rsidRPr="00F32E15">
        <w:rPr>
          <w:lang w:val="en-GB"/>
        </w:rPr>
        <w:t xml:space="preserve"> to </w:t>
      </w:r>
      <w:r w:rsidRPr="00F32E15">
        <w:rPr>
          <w:rFonts w:eastAsiaTheme="minorHAnsi"/>
          <w:lang w:val="en-GB"/>
        </w:rPr>
        <w:t>promote the accreditation of study programmes and institutions, for the purpose of ensuring the fulfilment of the legal requirements for their recognition;</w:t>
      </w:r>
      <w:r w:rsidRPr="00F32E15">
        <w:rPr>
          <w:lang w:val="en-GB"/>
        </w:rPr>
        <w:t xml:space="preserve"> to </w:t>
      </w:r>
      <w:r w:rsidRPr="00F32E15">
        <w:rPr>
          <w:rFonts w:eastAsiaTheme="minorHAnsi"/>
          <w:lang w:val="en-GB"/>
        </w:rPr>
        <w:t>provide society with information on the quality of the performance of higher education institutions;</w:t>
      </w:r>
      <w:r w:rsidRPr="00F32E15">
        <w:rPr>
          <w:lang w:val="en-GB"/>
        </w:rPr>
        <w:t xml:space="preserve"> to </w:t>
      </w:r>
      <w:r w:rsidRPr="00F32E15">
        <w:rPr>
          <w:rFonts w:eastAsiaTheme="minorHAnsi"/>
          <w:lang w:val="en-GB"/>
        </w:rPr>
        <w:t>promote the internationalisation of the assessment process”</w:t>
      </w:r>
      <w:r w:rsidRPr="004B4C12">
        <w:rPr>
          <w:rStyle w:val="FootnoteReference"/>
          <w:rFonts w:eastAsiaTheme="minorHAnsi"/>
        </w:rPr>
        <w:footnoteReference w:id="94"/>
      </w:r>
      <w:r w:rsidRPr="004B4C12">
        <w:rPr>
          <w:rStyle w:val="FootnoteReference"/>
        </w:rPr>
        <w:footnoteReference w:id="95"/>
      </w:r>
      <w:r w:rsidRPr="00F32E15">
        <w:rPr>
          <w:lang w:val="en-GB"/>
        </w:rPr>
        <w:t xml:space="preserve">. </w:t>
      </w:r>
    </w:p>
    <w:p w14:paraId="030E7077" w14:textId="77777777" w:rsidR="00503DFE" w:rsidRPr="005A3132" w:rsidRDefault="00503DFE" w:rsidP="00F41B98">
      <w:pPr>
        <w:pStyle w:val="Heading2"/>
      </w:pPr>
      <w:bookmarkStart w:id="32" w:name="_Toc491862500"/>
      <w:r w:rsidRPr="005A3132">
        <w:t>Future policy developments</w:t>
      </w:r>
      <w:bookmarkEnd w:id="32"/>
      <w:r w:rsidRPr="005A3132">
        <w:t xml:space="preserve"> </w:t>
      </w:r>
    </w:p>
    <w:p w14:paraId="5BFD3449" w14:textId="77777777" w:rsidR="00503DFE" w:rsidRPr="00F32E15" w:rsidRDefault="00503DFE" w:rsidP="00503DFE">
      <w:pPr>
        <w:pStyle w:val="Body"/>
        <w:rPr>
          <w:lang w:val="en-GB"/>
        </w:rPr>
      </w:pPr>
      <w:r w:rsidRPr="00F32E15">
        <w:rPr>
          <w:lang w:val="en-GB"/>
        </w:rPr>
        <w:t>The election of the most recent Government in 4/10/2015 influenced future policy developments. In line with the European Union guidelines for lifelong learning, future policy developments are directed at</w:t>
      </w:r>
      <w:r w:rsidRPr="005A3132">
        <w:rPr>
          <w:rStyle w:val="FootnoteReference"/>
        </w:rPr>
        <w:footnoteReference w:id="96"/>
      </w:r>
      <w:r w:rsidRPr="00F32E15">
        <w:rPr>
          <w:lang w:val="en-GB"/>
        </w:rPr>
        <w:t>:</w:t>
      </w:r>
    </w:p>
    <w:p w14:paraId="1BCBB110" w14:textId="77777777" w:rsidR="00503DFE" w:rsidRPr="00F32E15" w:rsidRDefault="00503DFE" w:rsidP="00324DC2">
      <w:pPr>
        <w:pStyle w:val="Body"/>
        <w:numPr>
          <w:ilvl w:val="0"/>
          <w:numId w:val="46"/>
        </w:numPr>
        <w:rPr>
          <w:lang w:val="en-GB"/>
        </w:rPr>
      </w:pPr>
      <w:r w:rsidRPr="00F32E15">
        <w:rPr>
          <w:lang w:val="en-GB"/>
        </w:rPr>
        <w:t>Improving the governance and the social recognition of the adult education and training;</w:t>
      </w:r>
    </w:p>
    <w:p w14:paraId="70546370" w14:textId="77777777" w:rsidR="00503DFE" w:rsidRPr="00F32E15" w:rsidRDefault="00503DFE" w:rsidP="00324DC2">
      <w:pPr>
        <w:pStyle w:val="Body"/>
        <w:numPr>
          <w:ilvl w:val="0"/>
          <w:numId w:val="46"/>
        </w:numPr>
        <w:rPr>
          <w:lang w:val="en-GB"/>
        </w:rPr>
      </w:pPr>
      <w:r w:rsidRPr="00F32E15">
        <w:rPr>
          <w:lang w:val="en-GB"/>
        </w:rPr>
        <w:t>Increasing forms of provision, in order to increase access and adults’ participation;</w:t>
      </w:r>
    </w:p>
    <w:p w14:paraId="7077BB77" w14:textId="77777777" w:rsidR="00503DFE" w:rsidRPr="00F32E15" w:rsidRDefault="00503DFE" w:rsidP="00324DC2">
      <w:pPr>
        <w:pStyle w:val="Body"/>
        <w:numPr>
          <w:ilvl w:val="0"/>
          <w:numId w:val="46"/>
        </w:numPr>
        <w:rPr>
          <w:lang w:val="en-GB"/>
        </w:rPr>
      </w:pPr>
      <w:r w:rsidRPr="00F32E15">
        <w:rPr>
          <w:lang w:val="en-GB"/>
        </w:rPr>
        <w:t>Improving access to existing forms of provision;</w:t>
      </w:r>
    </w:p>
    <w:p w14:paraId="3C5FC721" w14:textId="77777777" w:rsidR="00503DFE" w:rsidRPr="00F32E15" w:rsidRDefault="00503DFE" w:rsidP="00324DC2">
      <w:pPr>
        <w:pStyle w:val="Body"/>
        <w:numPr>
          <w:ilvl w:val="0"/>
          <w:numId w:val="46"/>
        </w:numPr>
        <w:rPr>
          <w:lang w:val="en-GB"/>
        </w:rPr>
      </w:pPr>
      <w:r w:rsidRPr="00F32E15">
        <w:rPr>
          <w:lang w:val="en-GB"/>
        </w:rPr>
        <w:t>Improving quality of existing forms of provision.</w:t>
      </w:r>
    </w:p>
    <w:p w14:paraId="4167236A" w14:textId="77777777" w:rsidR="00503DFE" w:rsidRPr="00F32E15" w:rsidRDefault="00503DFE" w:rsidP="00503DFE">
      <w:pPr>
        <w:pStyle w:val="Body"/>
        <w:rPr>
          <w:lang w:val="en-GB"/>
        </w:rPr>
      </w:pPr>
      <w:r w:rsidRPr="00F32E15">
        <w:rPr>
          <w:lang w:val="en-GB"/>
        </w:rPr>
        <w:t>These policy developments however involve additional challenges that are not being addressed in the existing policy, according to the author’s opinion, such as</w:t>
      </w:r>
      <w:r w:rsidRPr="005A3132">
        <w:rPr>
          <w:rStyle w:val="FootnoteReference"/>
        </w:rPr>
        <w:footnoteReference w:id="97"/>
      </w:r>
      <w:r w:rsidRPr="00F32E15">
        <w:rPr>
          <w:lang w:val="en-GB"/>
        </w:rPr>
        <w:t>:</w:t>
      </w:r>
    </w:p>
    <w:p w14:paraId="2CC67EF6" w14:textId="77777777" w:rsidR="00503DFE" w:rsidRPr="00F32E15" w:rsidRDefault="00503DFE" w:rsidP="00324DC2">
      <w:pPr>
        <w:pStyle w:val="Body"/>
        <w:numPr>
          <w:ilvl w:val="0"/>
          <w:numId w:val="47"/>
        </w:numPr>
        <w:rPr>
          <w:lang w:val="en-GB"/>
        </w:rPr>
      </w:pPr>
      <w:r w:rsidRPr="00F32E15">
        <w:rPr>
          <w:lang w:val="en-GB"/>
        </w:rPr>
        <w:t>The need of valuing of adult education as a central domain in social and economic policies and the avoidance of intermittent and discontinuous policies over time and according to governing political parties;</w:t>
      </w:r>
    </w:p>
    <w:p w14:paraId="56017AF5" w14:textId="77777777" w:rsidR="00503DFE" w:rsidRPr="00F32E15" w:rsidRDefault="00503DFE" w:rsidP="00324DC2">
      <w:pPr>
        <w:pStyle w:val="Body"/>
        <w:numPr>
          <w:ilvl w:val="0"/>
          <w:numId w:val="47"/>
        </w:numPr>
        <w:rPr>
          <w:lang w:val="en-GB"/>
        </w:rPr>
      </w:pPr>
      <w:r w:rsidRPr="00F32E15">
        <w:rPr>
          <w:lang w:val="en-GB"/>
        </w:rPr>
        <w:t>The lack of a public policy that includes non-formal and informal education, with the development of liberal adult education programmes that foster the acquisition and improvement of general knowledge and skills and not directly connected to work and workplaces;</w:t>
      </w:r>
    </w:p>
    <w:p w14:paraId="11D6EFCF" w14:textId="77777777" w:rsidR="00503DFE" w:rsidRPr="00F32E15" w:rsidRDefault="00503DFE" w:rsidP="00324DC2">
      <w:pPr>
        <w:pStyle w:val="Body"/>
        <w:numPr>
          <w:ilvl w:val="0"/>
          <w:numId w:val="47"/>
        </w:numPr>
        <w:rPr>
          <w:lang w:val="en-GB"/>
        </w:rPr>
      </w:pPr>
      <w:r w:rsidRPr="00F32E15">
        <w:rPr>
          <w:lang w:val="en-GB"/>
        </w:rPr>
        <w:t xml:space="preserve">The need to value adult educators hired in local education centres in the last decade that have developed relevant experience in recognition of prior learning, adult </w:t>
      </w:r>
      <w:r w:rsidRPr="00F32E15">
        <w:rPr>
          <w:lang w:val="en-GB"/>
        </w:rPr>
        <w:lastRenderedPageBreak/>
        <w:t>education and training courses, modular training courses and in other non-formal adult education organisations;</w:t>
      </w:r>
    </w:p>
    <w:p w14:paraId="7DBA93C4" w14:textId="77777777" w:rsidR="00503DFE" w:rsidRPr="00F32E15" w:rsidRDefault="00503DFE" w:rsidP="00324DC2">
      <w:pPr>
        <w:pStyle w:val="Body"/>
        <w:numPr>
          <w:ilvl w:val="0"/>
          <w:numId w:val="47"/>
        </w:numPr>
        <w:rPr>
          <w:lang w:val="en-GB"/>
        </w:rPr>
      </w:pPr>
      <w:r w:rsidRPr="00F32E15">
        <w:rPr>
          <w:lang w:val="en-GB"/>
        </w:rPr>
        <w:t>The inexistence of national funding resources from the national state budget that might be directed to adult education, avoiding the strong dependence upon EU funding programmes and rules;</w:t>
      </w:r>
    </w:p>
    <w:p w14:paraId="79C3AF8D" w14:textId="77777777" w:rsidR="00503DFE" w:rsidRPr="00F32E15" w:rsidRDefault="00503DFE" w:rsidP="00324DC2">
      <w:pPr>
        <w:pStyle w:val="Body"/>
        <w:numPr>
          <w:ilvl w:val="0"/>
          <w:numId w:val="47"/>
        </w:numPr>
        <w:rPr>
          <w:lang w:val="en-GB"/>
        </w:rPr>
      </w:pPr>
      <w:r w:rsidRPr="00F32E15">
        <w:rPr>
          <w:lang w:val="en-GB"/>
        </w:rPr>
        <w:t>The need for a restructuring of the existing National Agency for Qualification and Vocational Education and Training into a state dependant organisation that is directed at formal, non-formal and informal education aims and programmes.</w:t>
      </w:r>
    </w:p>
    <w:p w14:paraId="63329D0C" w14:textId="77777777" w:rsidR="00503DFE" w:rsidRPr="00F32E15" w:rsidRDefault="00503DFE" w:rsidP="00503DFE">
      <w:pPr>
        <w:pStyle w:val="Body"/>
        <w:rPr>
          <w:lang w:val="en-GB"/>
        </w:rPr>
      </w:pPr>
      <w:r w:rsidRPr="00F32E15">
        <w:rPr>
          <w:lang w:val="en-GB"/>
        </w:rPr>
        <w:t xml:space="preserve">Additionally, certain challenges, currently not being met by the existing </w:t>
      </w:r>
      <w:proofErr w:type="gramStart"/>
      <w:r w:rsidRPr="00F32E15">
        <w:rPr>
          <w:lang w:val="en-GB"/>
        </w:rPr>
        <w:t>mechanisms ,</w:t>
      </w:r>
      <w:proofErr w:type="gramEnd"/>
      <w:r w:rsidRPr="00F32E15">
        <w:rPr>
          <w:lang w:val="en-GB"/>
        </w:rPr>
        <w:t xml:space="preserve"> are of concern to the Qualify centres</w:t>
      </w:r>
      <w:r w:rsidRPr="005A3132">
        <w:rPr>
          <w:rStyle w:val="FootnoteReference"/>
        </w:rPr>
        <w:footnoteReference w:id="98"/>
      </w:r>
      <w:r w:rsidRPr="00F32E15">
        <w:rPr>
          <w:lang w:val="en-GB"/>
        </w:rPr>
        <w:t>:</w:t>
      </w:r>
    </w:p>
    <w:p w14:paraId="27BFB3B2" w14:textId="77777777" w:rsidR="00503DFE" w:rsidRPr="00F32E15" w:rsidRDefault="00503DFE" w:rsidP="00503DFE">
      <w:pPr>
        <w:pStyle w:val="Body"/>
        <w:numPr>
          <w:ilvl w:val="0"/>
          <w:numId w:val="43"/>
        </w:numPr>
        <w:rPr>
          <w:lang w:val="en-GB"/>
        </w:rPr>
      </w:pPr>
      <w:r w:rsidRPr="00F32E15">
        <w:rPr>
          <w:lang w:val="en-GB"/>
        </w:rPr>
        <w:t>The need for greater monitoring by the National Agency for Qualification and Vocational Education and Training of the work carried out in terms implementation: for instance, when using existing standards, the electronic platform, in the monitoring of the writing of portfolios by learners, etc.;</w:t>
      </w:r>
    </w:p>
    <w:p w14:paraId="005D8172" w14:textId="77777777" w:rsidR="00503DFE" w:rsidRPr="00F32E15" w:rsidRDefault="00503DFE" w:rsidP="00503DFE">
      <w:pPr>
        <w:pStyle w:val="Body"/>
        <w:numPr>
          <w:ilvl w:val="0"/>
          <w:numId w:val="43"/>
        </w:numPr>
        <w:rPr>
          <w:lang w:val="en-GB"/>
        </w:rPr>
      </w:pPr>
      <w:r w:rsidRPr="00F32E15">
        <w:rPr>
          <w:lang w:val="en-GB"/>
        </w:rPr>
        <w:t>The importance that self-assessment may have, in so far as it involves not only an indication of the objectives the centres are obligated to fulfil, but, above all, the analysis of practices that are developed and a reflection of the daily work carried out;</w:t>
      </w:r>
    </w:p>
    <w:p w14:paraId="1E3B945C" w14:textId="77777777" w:rsidR="00503DFE" w:rsidRPr="00F32E15" w:rsidRDefault="00503DFE" w:rsidP="00503DFE">
      <w:pPr>
        <w:pStyle w:val="Body"/>
        <w:numPr>
          <w:ilvl w:val="0"/>
          <w:numId w:val="43"/>
        </w:numPr>
        <w:rPr>
          <w:lang w:val="en-GB"/>
        </w:rPr>
      </w:pPr>
      <w:r w:rsidRPr="00F32E15">
        <w:rPr>
          <w:lang w:val="en-GB"/>
        </w:rPr>
        <w:t xml:space="preserve">Continuous education and training arrangements which include differentiated methodological approaches have to be considered as necessary. Continuous training for adult educators and trainers could include discussing and reflecting about recognition of prior learning, and about the validation of non-formal and informal learning. </w:t>
      </w:r>
    </w:p>
    <w:p w14:paraId="6EB74BC3" w14:textId="77777777" w:rsidR="00503DFE" w:rsidRPr="00F32E15" w:rsidRDefault="00503DFE" w:rsidP="00503DFE">
      <w:pPr>
        <w:pStyle w:val="Body"/>
        <w:numPr>
          <w:ilvl w:val="0"/>
          <w:numId w:val="43"/>
        </w:numPr>
        <w:rPr>
          <w:lang w:val="en-GB"/>
        </w:rPr>
      </w:pPr>
      <w:r w:rsidRPr="00F32E15">
        <w:rPr>
          <w:lang w:val="en-GB"/>
        </w:rPr>
        <w:t>The need to value other in-service training activities, besides recognition of prior learning that centres can offer to adult learners, motivating and mobilising them towards education and learning, thus ensuring a better quality of the learning experiences of adult learners.</w:t>
      </w:r>
    </w:p>
    <w:p w14:paraId="7D832216" w14:textId="77777777" w:rsidR="00503DFE" w:rsidRPr="00F32E15" w:rsidRDefault="00503DFE" w:rsidP="00503DFE">
      <w:pPr>
        <w:pStyle w:val="Body"/>
        <w:rPr>
          <w:lang w:val="en-GB"/>
        </w:rPr>
      </w:pPr>
    </w:p>
    <w:p w14:paraId="7E6B6AA7" w14:textId="58BEE425" w:rsidR="00503DFE" w:rsidRPr="00F32E15" w:rsidRDefault="00503DFE" w:rsidP="00503DFE">
      <w:pPr>
        <w:pStyle w:val="Body"/>
        <w:rPr>
          <w:lang w:val="en-GB"/>
        </w:rPr>
      </w:pPr>
      <w:r w:rsidRPr="00F32E15">
        <w:rPr>
          <w:lang w:val="en-GB"/>
        </w:rPr>
        <w:br w:type="page"/>
      </w:r>
    </w:p>
    <w:p w14:paraId="0E91833E" w14:textId="77777777" w:rsidR="00503DFE" w:rsidRPr="009B527E" w:rsidRDefault="00503DFE" w:rsidP="00324DC2">
      <w:pPr>
        <w:pStyle w:val="Heading1"/>
        <w:keepNext w:val="0"/>
        <w:pageBreakBefore/>
        <w:numPr>
          <w:ilvl w:val="0"/>
          <w:numId w:val="24"/>
        </w:numPr>
        <w:tabs>
          <w:tab w:val="clear" w:pos="1134"/>
          <w:tab w:val="left" w:pos="851"/>
        </w:tabs>
        <w:spacing w:before="0" w:after="360" w:line="288" w:lineRule="auto"/>
        <w:ind w:left="851" w:hanging="851"/>
      </w:pPr>
      <w:bookmarkStart w:id="33" w:name="_Toc491862501"/>
      <w:r w:rsidRPr="009B527E">
        <w:lastRenderedPageBreak/>
        <w:t>Investment in adult learning systems</w:t>
      </w:r>
      <w:bookmarkEnd w:id="33"/>
      <w:r w:rsidRPr="009B527E">
        <w:t xml:space="preserve"> </w:t>
      </w:r>
    </w:p>
    <w:p w14:paraId="7F64882F" w14:textId="77777777" w:rsidR="00503DFE" w:rsidRPr="00F32E15" w:rsidRDefault="00503DFE" w:rsidP="00F41B98">
      <w:pPr>
        <w:pStyle w:val="Heading2"/>
        <w:rPr>
          <w:lang w:val="en-GB"/>
        </w:rPr>
      </w:pPr>
      <w:bookmarkStart w:id="34" w:name="_Toc491862502"/>
      <w:r w:rsidRPr="00F32E15">
        <w:rPr>
          <w:lang w:val="en-GB"/>
        </w:rPr>
        <w:t>Total investment in adult learning and change over time</w:t>
      </w:r>
      <w:bookmarkEnd w:id="34"/>
    </w:p>
    <w:p w14:paraId="4EC968C9" w14:textId="77777777" w:rsidR="00503DFE" w:rsidRPr="00F32E15" w:rsidRDefault="00503DFE" w:rsidP="00503DFE">
      <w:pPr>
        <w:pStyle w:val="Body"/>
        <w:rPr>
          <w:lang w:val="en-GB"/>
        </w:rPr>
      </w:pPr>
      <w:r w:rsidRPr="00F32E15">
        <w:rPr>
          <w:lang w:val="en-GB"/>
        </w:rPr>
        <w:t>From 2007 to 2013, adult education policy covers basic and secondary education forms of provision, and was mainly funded by the European Social Fund through the programme of human potential</w:t>
      </w:r>
      <w:r w:rsidRPr="009B527E">
        <w:rPr>
          <w:rStyle w:val="FootnoteReference"/>
        </w:rPr>
        <w:footnoteReference w:id="99"/>
      </w:r>
      <w:r w:rsidRPr="00F32E15">
        <w:rPr>
          <w:lang w:val="en-GB"/>
        </w:rPr>
        <w:t xml:space="preserve"> within the national strategic framework</w:t>
      </w:r>
      <w:r w:rsidRPr="009B527E">
        <w:rPr>
          <w:rStyle w:val="FootnoteReference"/>
        </w:rPr>
        <w:footnoteReference w:id="100"/>
      </w:r>
      <w:r w:rsidRPr="00F32E15">
        <w:rPr>
          <w:lang w:val="en-GB"/>
        </w:rPr>
        <w:t xml:space="preserve"> (at the level of 75%). National sources to finance adult education (from the general State budget) were 25% of the whole amount of funding directed at this policy. Since 2014 national sources to finance adult education (from the general State budget) are 15% of the whole amount of funding directed at this policy, and the European Social Fund is still the main source of funding (85%).</w:t>
      </w:r>
    </w:p>
    <w:p w14:paraId="1FC5CEA6" w14:textId="77777777" w:rsidR="00503DFE" w:rsidRPr="00F32E15" w:rsidRDefault="00503DFE" w:rsidP="00503DFE">
      <w:pPr>
        <w:pStyle w:val="Body"/>
        <w:rPr>
          <w:lang w:val="en-GB"/>
        </w:rPr>
      </w:pPr>
      <w:r w:rsidRPr="00F32E15">
        <w:rPr>
          <w:lang w:val="en-GB"/>
        </w:rPr>
        <w:t>As it can be observed in Table 4.1, in 2009, 2010 and 2011, around €55 million each year funded adult education public policy. Since 2012, there were severe cuts and in 2015, €38 million were funding the referred policy.</w:t>
      </w:r>
    </w:p>
    <w:p w14:paraId="029571CD" w14:textId="77777777" w:rsidR="00503DFE" w:rsidRPr="00F32E15" w:rsidRDefault="00503DFE" w:rsidP="00503DFE">
      <w:pPr>
        <w:pStyle w:val="BodyText"/>
        <w:rPr>
          <w:b/>
          <w:lang w:val="en-GB"/>
        </w:rPr>
      </w:pPr>
      <w:r w:rsidRPr="00F32E15">
        <w:rPr>
          <w:b/>
          <w:lang w:val="en-GB"/>
        </w:rPr>
        <w:t xml:space="preserve">Table </w:t>
      </w:r>
      <w:r w:rsidRPr="00503DFE">
        <w:rPr>
          <w:b/>
        </w:rPr>
        <w:fldChar w:fldCharType="begin"/>
      </w:r>
      <w:r w:rsidRPr="00F32E15">
        <w:rPr>
          <w:b/>
          <w:lang w:val="en-GB"/>
        </w:rPr>
        <w:instrText xml:space="preserve"> STYLEREF 1 \s </w:instrText>
      </w:r>
      <w:r w:rsidRPr="00503DFE">
        <w:rPr>
          <w:b/>
        </w:rPr>
        <w:fldChar w:fldCharType="separate"/>
      </w:r>
      <w:r w:rsidRPr="00F32E15">
        <w:rPr>
          <w:b/>
          <w:lang w:val="en-GB"/>
        </w:rPr>
        <w:t>4</w:t>
      </w:r>
      <w:r w:rsidRPr="00503DFE">
        <w:rPr>
          <w:b/>
        </w:rPr>
        <w:fldChar w:fldCharType="end"/>
      </w:r>
      <w:r w:rsidRPr="00F32E15">
        <w:rPr>
          <w:b/>
          <w:lang w:val="en-GB"/>
        </w:rPr>
        <w:t>.</w:t>
      </w:r>
      <w:r w:rsidRPr="00503DFE">
        <w:rPr>
          <w:b/>
        </w:rPr>
        <w:fldChar w:fldCharType="begin"/>
      </w:r>
      <w:r w:rsidRPr="00F32E15">
        <w:rPr>
          <w:b/>
          <w:lang w:val="en-GB"/>
        </w:rPr>
        <w:instrText xml:space="preserve"> SEQ Table \* ARABIC \s 1 </w:instrText>
      </w:r>
      <w:r w:rsidRPr="00503DFE">
        <w:rPr>
          <w:b/>
        </w:rPr>
        <w:fldChar w:fldCharType="separate"/>
      </w:r>
      <w:r w:rsidRPr="00F32E15">
        <w:rPr>
          <w:b/>
          <w:lang w:val="en-GB"/>
        </w:rPr>
        <w:t>1</w:t>
      </w:r>
      <w:r w:rsidRPr="00503DFE">
        <w:rPr>
          <w:b/>
        </w:rPr>
        <w:fldChar w:fldCharType="end"/>
      </w:r>
      <w:r w:rsidRPr="00F32E15">
        <w:rPr>
          <w:b/>
          <w:lang w:val="en-GB"/>
        </w:rPr>
        <w:t xml:space="preserve">  Public funding (European Union and national funds) to adult education policy in Portugal (2007-2013)</w:t>
      </w:r>
    </w:p>
    <w:tbl>
      <w:tblPr>
        <w:tblStyle w:val="ecTable"/>
        <w:tblW w:w="5000" w:type="pct"/>
        <w:tblLook w:val="0420" w:firstRow="1" w:lastRow="0" w:firstColumn="0" w:lastColumn="0" w:noHBand="0" w:noVBand="1"/>
      </w:tblPr>
      <w:tblGrid>
        <w:gridCol w:w="971"/>
        <w:gridCol w:w="891"/>
        <w:gridCol w:w="891"/>
        <w:gridCol w:w="891"/>
        <w:gridCol w:w="892"/>
        <w:gridCol w:w="892"/>
        <w:gridCol w:w="892"/>
        <w:gridCol w:w="892"/>
        <w:gridCol w:w="892"/>
        <w:gridCol w:w="892"/>
      </w:tblGrid>
      <w:tr w:rsidR="00503DFE" w:rsidRPr="009B527E" w14:paraId="6463C623" w14:textId="77777777" w:rsidTr="00304CB9">
        <w:trPr>
          <w:cnfStyle w:val="100000000000" w:firstRow="1" w:lastRow="0" w:firstColumn="0" w:lastColumn="0" w:oddVBand="0" w:evenVBand="0" w:oddHBand="0" w:evenHBand="0" w:firstRowFirstColumn="0" w:firstRowLastColumn="0" w:lastRowFirstColumn="0" w:lastRowLastColumn="0"/>
        </w:trPr>
        <w:tc>
          <w:tcPr>
            <w:tcW w:w="980" w:type="dxa"/>
            <w:hideMark/>
          </w:tcPr>
          <w:p w14:paraId="3A3B817E" w14:textId="77777777" w:rsidR="00503DFE" w:rsidRPr="009B527E" w:rsidRDefault="00503DFE" w:rsidP="00503DFE">
            <w:pPr>
              <w:pStyle w:val="Body"/>
            </w:pPr>
            <w:r w:rsidRPr="009B527E">
              <w:t>Year</w:t>
            </w:r>
          </w:p>
        </w:tc>
        <w:tc>
          <w:tcPr>
            <w:tcW w:w="953" w:type="dxa"/>
            <w:hideMark/>
          </w:tcPr>
          <w:p w14:paraId="17E38536" w14:textId="77777777" w:rsidR="00503DFE" w:rsidRPr="009B527E" w:rsidRDefault="00503DFE" w:rsidP="00503DFE">
            <w:pPr>
              <w:pStyle w:val="Body"/>
            </w:pPr>
            <w:r w:rsidRPr="009B527E">
              <w:t>2007</w:t>
            </w:r>
          </w:p>
        </w:tc>
        <w:tc>
          <w:tcPr>
            <w:tcW w:w="953" w:type="dxa"/>
            <w:hideMark/>
          </w:tcPr>
          <w:p w14:paraId="0E7A2935" w14:textId="77777777" w:rsidR="00503DFE" w:rsidRPr="009B527E" w:rsidRDefault="00503DFE" w:rsidP="00503DFE">
            <w:pPr>
              <w:pStyle w:val="Body"/>
            </w:pPr>
            <w:r w:rsidRPr="009B527E">
              <w:t>2008</w:t>
            </w:r>
          </w:p>
        </w:tc>
        <w:tc>
          <w:tcPr>
            <w:tcW w:w="954" w:type="dxa"/>
            <w:hideMark/>
          </w:tcPr>
          <w:p w14:paraId="7F8B9FC1" w14:textId="77777777" w:rsidR="00503DFE" w:rsidRPr="009B527E" w:rsidRDefault="00503DFE" w:rsidP="00503DFE">
            <w:pPr>
              <w:pStyle w:val="Body"/>
            </w:pPr>
            <w:r w:rsidRPr="009B527E">
              <w:t>2009</w:t>
            </w:r>
          </w:p>
        </w:tc>
        <w:tc>
          <w:tcPr>
            <w:tcW w:w="955" w:type="dxa"/>
            <w:hideMark/>
          </w:tcPr>
          <w:p w14:paraId="2A7CB696" w14:textId="77777777" w:rsidR="00503DFE" w:rsidRPr="009B527E" w:rsidRDefault="00503DFE" w:rsidP="00503DFE">
            <w:pPr>
              <w:pStyle w:val="Body"/>
            </w:pPr>
            <w:r w:rsidRPr="009B527E">
              <w:t>2010</w:t>
            </w:r>
          </w:p>
        </w:tc>
        <w:tc>
          <w:tcPr>
            <w:tcW w:w="955" w:type="dxa"/>
            <w:hideMark/>
          </w:tcPr>
          <w:p w14:paraId="0D755B8E" w14:textId="77777777" w:rsidR="00503DFE" w:rsidRPr="009B527E" w:rsidRDefault="00503DFE" w:rsidP="00503DFE">
            <w:pPr>
              <w:pStyle w:val="Body"/>
            </w:pPr>
            <w:r w:rsidRPr="009B527E">
              <w:t>2011</w:t>
            </w:r>
          </w:p>
        </w:tc>
        <w:tc>
          <w:tcPr>
            <w:tcW w:w="955" w:type="dxa"/>
            <w:hideMark/>
          </w:tcPr>
          <w:p w14:paraId="6A461FDD" w14:textId="77777777" w:rsidR="00503DFE" w:rsidRPr="009B527E" w:rsidRDefault="00503DFE" w:rsidP="00503DFE">
            <w:pPr>
              <w:pStyle w:val="Body"/>
            </w:pPr>
            <w:r w:rsidRPr="009B527E">
              <w:t>2012</w:t>
            </w:r>
          </w:p>
        </w:tc>
        <w:tc>
          <w:tcPr>
            <w:tcW w:w="955" w:type="dxa"/>
            <w:hideMark/>
          </w:tcPr>
          <w:p w14:paraId="1F4153DA" w14:textId="77777777" w:rsidR="00503DFE" w:rsidRPr="009B527E" w:rsidRDefault="00503DFE" w:rsidP="00503DFE">
            <w:pPr>
              <w:pStyle w:val="Body"/>
            </w:pPr>
            <w:r w:rsidRPr="009B527E">
              <w:t>2013</w:t>
            </w:r>
          </w:p>
        </w:tc>
        <w:tc>
          <w:tcPr>
            <w:tcW w:w="955" w:type="dxa"/>
            <w:hideMark/>
          </w:tcPr>
          <w:p w14:paraId="283AA19F" w14:textId="77777777" w:rsidR="00503DFE" w:rsidRPr="009B527E" w:rsidRDefault="00503DFE" w:rsidP="00503DFE">
            <w:pPr>
              <w:pStyle w:val="Body"/>
            </w:pPr>
            <w:r w:rsidRPr="009B527E">
              <w:t>2014</w:t>
            </w:r>
          </w:p>
        </w:tc>
        <w:tc>
          <w:tcPr>
            <w:tcW w:w="955" w:type="dxa"/>
            <w:hideMark/>
          </w:tcPr>
          <w:p w14:paraId="6C5718EA" w14:textId="77777777" w:rsidR="00503DFE" w:rsidRPr="009B527E" w:rsidRDefault="00503DFE" w:rsidP="00503DFE">
            <w:pPr>
              <w:pStyle w:val="Body"/>
            </w:pPr>
            <w:r w:rsidRPr="009B527E">
              <w:t>2015</w:t>
            </w:r>
          </w:p>
        </w:tc>
      </w:tr>
      <w:tr w:rsidR="00503DFE" w:rsidRPr="009B527E" w14:paraId="7C42E439" w14:textId="77777777" w:rsidTr="00304CB9">
        <w:tc>
          <w:tcPr>
            <w:tcW w:w="980" w:type="dxa"/>
            <w:hideMark/>
          </w:tcPr>
          <w:p w14:paraId="62B513BD" w14:textId="77777777" w:rsidR="00503DFE" w:rsidRPr="009B527E" w:rsidRDefault="00503DFE" w:rsidP="00503DFE">
            <w:pPr>
              <w:pStyle w:val="Body"/>
            </w:pPr>
            <w:r w:rsidRPr="009B527E">
              <w:t>Millions of €</w:t>
            </w:r>
          </w:p>
        </w:tc>
        <w:tc>
          <w:tcPr>
            <w:tcW w:w="953" w:type="dxa"/>
            <w:hideMark/>
          </w:tcPr>
          <w:p w14:paraId="57C3307F" w14:textId="77777777" w:rsidR="00503DFE" w:rsidRPr="009B527E" w:rsidRDefault="00503DFE" w:rsidP="00503DFE">
            <w:pPr>
              <w:pStyle w:val="Body"/>
            </w:pPr>
            <w:r w:rsidRPr="009B527E">
              <w:t>24</w:t>
            </w:r>
          </w:p>
        </w:tc>
        <w:tc>
          <w:tcPr>
            <w:tcW w:w="953" w:type="dxa"/>
            <w:hideMark/>
          </w:tcPr>
          <w:p w14:paraId="7628551F" w14:textId="77777777" w:rsidR="00503DFE" w:rsidRPr="009B527E" w:rsidRDefault="00503DFE" w:rsidP="00503DFE">
            <w:pPr>
              <w:pStyle w:val="Body"/>
            </w:pPr>
            <w:r w:rsidRPr="009B527E">
              <w:t>30</w:t>
            </w:r>
          </w:p>
        </w:tc>
        <w:tc>
          <w:tcPr>
            <w:tcW w:w="954" w:type="dxa"/>
            <w:hideMark/>
          </w:tcPr>
          <w:p w14:paraId="04567010" w14:textId="77777777" w:rsidR="00503DFE" w:rsidRPr="009B527E" w:rsidRDefault="00503DFE" w:rsidP="00503DFE">
            <w:pPr>
              <w:pStyle w:val="Body"/>
            </w:pPr>
            <w:r w:rsidRPr="009B527E">
              <w:t>55</w:t>
            </w:r>
          </w:p>
        </w:tc>
        <w:tc>
          <w:tcPr>
            <w:tcW w:w="955" w:type="dxa"/>
            <w:hideMark/>
          </w:tcPr>
          <w:p w14:paraId="0315DB93" w14:textId="77777777" w:rsidR="00503DFE" w:rsidRPr="009B527E" w:rsidRDefault="00503DFE" w:rsidP="00503DFE">
            <w:pPr>
              <w:pStyle w:val="Body"/>
            </w:pPr>
            <w:r w:rsidRPr="009B527E">
              <w:t>55</w:t>
            </w:r>
          </w:p>
        </w:tc>
        <w:tc>
          <w:tcPr>
            <w:tcW w:w="955" w:type="dxa"/>
            <w:hideMark/>
          </w:tcPr>
          <w:p w14:paraId="78954DFF" w14:textId="77777777" w:rsidR="00503DFE" w:rsidRPr="009B527E" w:rsidRDefault="00503DFE" w:rsidP="00503DFE">
            <w:pPr>
              <w:pStyle w:val="Body"/>
            </w:pPr>
            <w:r w:rsidRPr="009B527E">
              <w:t>55</w:t>
            </w:r>
          </w:p>
        </w:tc>
        <w:tc>
          <w:tcPr>
            <w:tcW w:w="955" w:type="dxa"/>
            <w:hideMark/>
          </w:tcPr>
          <w:p w14:paraId="12DE274D" w14:textId="77777777" w:rsidR="00503DFE" w:rsidRPr="009B527E" w:rsidRDefault="00503DFE" w:rsidP="00503DFE">
            <w:pPr>
              <w:pStyle w:val="Body"/>
            </w:pPr>
            <w:r w:rsidRPr="009B527E">
              <w:t>29</w:t>
            </w:r>
          </w:p>
        </w:tc>
        <w:tc>
          <w:tcPr>
            <w:tcW w:w="955" w:type="dxa"/>
            <w:hideMark/>
          </w:tcPr>
          <w:p w14:paraId="6F968285" w14:textId="77777777" w:rsidR="00503DFE" w:rsidRPr="009B527E" w:rsidRDefault="00503DFE" w:rsidP="00503DFE">
            <w:pPr>
              <w:pStyle w:val="Body"/>
            </w:pPr>
            <w:r w:rsidRPr="009B527E">
              <w:t>43</w:t>
            </w:r>
          </w:p>
        </w:tc>
        <w:tc>
          <w:tcPr>
            <w:tcW w:w="955" w:type="dxa"/>
            <w:hideMark/>
          </w:tcPr>
          <w:p w14:paraId="7C1A2871" w14:textId="77777777" w:rsidR="00503DFE" w:rsidRPr="009B527E" w:rsidRDefault="00503DFE" w:rsidP="00503DFE">
            <w:pPr>
              <w:pStyle w:val="Body"/>
            </w:pPr>
            <w:r w:rsidRPr="009B527E">
              <w:t>39</w:t>
            </w:r>
          </w:p>
        </w:tc>
        <w:tc>
          <w:tcPr>
            <w:tcW w:w="955" w:type="dxa"/>
            <w:hideMark/>
          </w:tcPr>
          <w:p w14:paraId="128E6845" w14:textId="77777777" w:rsidR="00503DFE" w:rsidRPr="009B527E" w:rsidRDefault="00503DFE" w:rsidP="00503DFE">
            <w:pPr>
              <w:pStyle w:val="Body"/>
            </w:pPr>
            <w:r w:rsidRPr="009B527E">
              <w:t>38</w:t>
            </w:r>
          </w:p>
        </w:tc>
      </w:tr>
    </w:tbl>
    <w:p w14:paraId="2D3A51A6" w14:textId="77777777" w:rsidR="00503DFE" w:rsidRPr="00503DFE" w:rsidRDefault="00503DFE" w:rsidP="00C020D0">
      <w:pPr>
        <w:pStyle w:val="Body"/>
        <w:spacing w:before="0" w:beforeAutospacing="0" w:after="0" w:afterAutospacing="0"/>
        <w:rPr>
          <w:i/>
          <w:sz w:val="16"/>
          <w:szCs w:val="16"/>
        </w:rPr>
      </w:pPr>
      <w:r w:rsidRPr="00503DFE">
        <w:rPr>
          <w:i/>
          <w:sz w:val="16"/>
          <w:szCs w:val="16"/>
        </w:rPr>
        <w:t xml:space="preserve">Source: Conselho Nacional de Educação (2015). </w:t>
      </w:r>
    </w:p>
    <w:p w14:paraId="315B195C" w14:textId="77777777" w:rsidR="00503DFE" w:rsidRPr="009B527E" w:rsidRDefault="00503DFE" w:rsidP="00F41B98">
      <w:pPr>
        <w:pStyle w:val="Heading2"/>
      </w:pPr>
      <w:bookmarkStart w:id="35" w:name="_Toc491862503"/>
      <w:r w:rsidRPr="009B527E">
        <w:t>Public national investment</w:t>
      </w:r>
      <w:bookmarkEnd w:id="35"/>
    </w:p>
    <w:p w14:paraId="0EE89FEA" w14:textId="77777777" w:rsidR="00503DFE" w:rsidRPr="00F32E15" w:rsidRDefault="00503DFE" w:rsidP="00503DFE">
      <w:pPr>
        <w:pStyle w:val="BodyText"/>
        <w:rPr>
          <w:lang w:val="en-GB"/>
        </w:rPr>
      </w:pPr>
      <w:r w:rsidRPr="00F32E15">
        <w:rPr>
          <w:lang w:val="en-GB"/>
        </w:rPr>
        <w:t>Table 4.2 includes data concerning public national investment in adult education policy within the New opportunities programme (€3,200 million from 2007 to 2013, although this programme was abolished in 2011) and The Qualify programme (€592 million from 2014 to 2023).</w:t>
      </w:r>
    </w:p>
    <w:p w14:paraId="0D4B7E0C" w14:textId="29AEA320" w:rsidR="00503DFE" w:rsidRPr="00F32E15" w:rsidRDefault="00503DFE" w:rsidP="00C020D0">
      <w:pPr>
        <w:pStyle w:val="BodyText"/>
        <w:spacing w:after="240"/>
        <w:rPr>
          <w:lang w:val="en-GB"/>
        </w:rPr>
      </w:pPr>
      <w:r w:rsidRPr="00F32E15">
        <w:rPr>
          <w:lang w:val="en-GB"/>
        </w:rPr>
        <w:t>The impact of European Union funding (European Social Fund) has to be noted in both programmes.</w:t>
      </w:r>
    </w:p>
    <w:p w14:paraId="5E92CECC" w14:textId="7DB29F45" w:rsidR="00503DFE" w:rsidRPr="00F32E15" w:rsidRDefault="00503DFE" w:rsidP="00C020D0">
      <w:pPr>
        <w:pStyle w:val="BodyText"/>
        <w:spacing w:after="0"/>
        <w:rPr>
          <w:b/>
          <w:lang w:val="en-GB"/>
        </w:rPr>
      </w:pPr>
      <w:r w:rsidRPr="00F32E15">
        <w:rPr>
          <w:b/>
          <w:lang w:val="en-GB"/>
        </w:rPr>
        <w:t xml:space="preserve">Table </w:t>
      </w:r>
      <w:r w:rsidRPr="00503DFE">
        <w:rPr>
          <w:b/>
        </w:rPr>
        <w:fldChar w:fldCharType="begin"/>
      </w:r>
      <w:r w:rsidRPr="00F32E15">
        <w:rPr>
          <w:b/>
          <w:lang w:val="en-GB"/>
        </w:rPr>
        <w:instrText xml:space="preserve"> STYLEREF 1 \s </w:instrText>
      </w:r>
      <w:r w:rsidRPr="00503DFE">
        <w:rPr>
          <w:b/>
        </w:rPr>
        <w:fldChar w:fldCharType="separate"/>
      </w:r>
      <w:r w:rsidRPr="00F32E15">
        <w:rPr>
          <w:b/>
          <w:lang w:val="en-GB"/>
        </w:rPr>
        <w:t>4</w:t>
      </w:r>
      <w:r w:rsidRPr="00503DFE">
        <w:rPr>
          <w:b/>
        </w:rPr>
        <w:fldChar w:fldCharType="end"/>
      </w:r>
      <w:r w:rsidRPr="00F32E15">
        <w:rPr>
          <w:b/>
          <w:lang w:val="en-GB"/>
        </w:rPr>
        <w:t xml:space="preserve">.2:  Breakdown of public national investment </w:t>
      </w:r>
    </w:p>
    <w:tbl>
      <w:tblPr>
        <w:tblStyle w:val="ecTable"/>
        <w:tblW w:w="5000" w:type="pct"/>
        <w:tblLayout w:type="fixed"/>
        <w:tblLook w:val="0420" w:firstRow="1" w:lastRow="0" w:firstColumn="0" w:lastColumn="0" w:noHBand="0" w:noVBand="1"/>
      </w:tblPr>
      <w:tblGrid>
        <w:gridCol w:w="1473"/>
        <w:gridCol w:w="1167"/>
        <w:gridCol w:w="1679"/>
        <w:gridCol w:w="1437"/>
        <w:gridCol w:w="1437"/>
        <w:gridCol w:w="1803"/>
      </w:tblGrid>
      <w:tr w:rsidR="00503DFE" w:rsidRPr="00503DFE" w14:paraId="6EDE33E0" w14:textId="77777777" w:rsidTr="00C13C17">
        <w:trPr>
          <w:cnfStyle w:val="100000000000" w:firstRow="1" w:lastRow="0" w:firstColumn="0" w:lastColumn="0" w:oddVBand="0" w:evenVBand="0" w:oddHBand="0" w:evenHBand="0" w:firstRowFirstColumn="0" w:firstRowLastColumn="0" w:lastRowFirstColumn="0" w:lastRowLastColumn="0"/>
          <w:trHeight w:val="1064"/>
        </w:trPr>
        <w:tc>
          <w:tcPr>
            <w:tcW w:w="1473" w:type="dxa"/>
            <w:hideMark/>
          </w:tcPr>
          <w:p w14:paraId="41145B20" w14:textId="77777777" w:rsidR="00503DFE" w:rsidRPr="00503DFE" w:rsidRDefault="00503DFE" w:rsidP="00304CB9">
            <w:pPr>
              <w:pStyle w:val="Tabletext"/>
              <w:rPr>
                <w:rFonts w:ascii="Verdana" w:hAnsi="Verdana"/>
              </w:rPr>
            </w:pPr>
            <w:r w:rsidRPr="00503DFE">
              <w:rPr>
                <w:rFonts w:ascii="Verdana" w:hAnsi="Verdana"/>
              </w:rPr>
              <w:t>Title of public investment source</w:t>
            </w:r>
          </w:p>
        </w:tc>
        <w:tc>
          <w:tcPr>
            <w:tcW w:w="1167" w:type="dxa"/>
          </w:tcPr>
          <w:p w14:paraId="44F8AD7F" w14:textId="77777777" w:rsidR="00503DFE" w:rsidRPr="00503DFE" w:rsidRDefault="00503DFE" w:rsidP="00304CB9">
            <w:pPr>
              <w:pStyle w:val="Tabletext"/>
              <w:rPr>
                <w:rFonts w:ascii="Verdana" w:hAnsi="Verdana"/>
              </w:rPr>
            </w:pPr>
            <w:r w:rsidRPr="00503DFE">
              <w:rPr>
                <w:rFonts w:ascii="Verdana" w:hAnsi="Verdana"/>
              </w:rPr>
              <w:t>Source of funding</w:t>
            </w:r>
          </w:p>
        </w:tc>
        <w:tc>
          <w:tcPr>
            <w:tcW w:w="1679" w:type="dxa"/>
          </w:tcPr>
          <w:p w14:paraId="1324B6EF" w14:textId="77777777" w:rsidR="00503DFE" w:rsidRPr="00503DFE" w:rsidRDefault="00503DFE" w:rsidP="00304CB9">
            <w:pPr>
              <w:pStyle w:val="Tabletext"/>
              <w:rPr>
                <w:rFonts w:ascii="Verdana" w:hAnsi="Verdana"/>
              </w:rPr>
            </w:pPr>
            <w:r w:rsidRPr="00503DFE">
              <w:rPr>
                <w:rFonts w:ascii="Verdana" w:hAnsi="Verdana"/>
              </w:rPr>
              <w:t xml:space="preserve">Amount of funding </w:t>
            </w:r>
          </w:p>
        </w:tc>
        <w:tc>
          <w:tcPr>
            <w:tcW w:w="1437" w:type="dxa"/>
          </w:tcPr>
          <w:p w14:paraId="028AA17B" w14:textId="77777777" w:rsidR="00503DFE" w:rsidRPr="00503DFE" w:rsidRDefault="00503DFE" w:rsidP="00304CB9">
            <w:pPr>
              <w:pStyle w:val="Tabletext"/>
              <w:rPr>
                <w:rFonts w:ascii="Verdana" w:hAnsi="Verdana"/>
              </w:rPr>
            </w:pPr>
            <w:r w:rsidRPr="00503DFE">
              <w:rPr>
                <w:rFonts w:ascii="Verdana" w:hAnsi="Verdana"/>
              </w:rPr>
              <w:t>Targeted number of participants</w:t>
            </w:r>
          </w:p>
        </w:tc>
        <w:tc>
          <w:tcPr>
            <w:tcW w:w="1437" w:type="dxa"/>
          </w:tcPr>
          <w:p w14:paraId="1B619712" w14:textId="77777777" w:rsidR="00503DFE" w:rsidRPr="00503DFE" w:rsidRDefault="00503DFE" w:rsidP="00304CB9">
            <w:pPr>
              <w:pStyle w:val="Tabletext"/>
              <w:rPr>
                <w:rFonts w:ascii="Verdana" w:hAnsi="Verdana"/>
              </w:rPr>
            </w:pPr>
            <w:r w:rsidRPr="00503DFE">
              <w:rPr>
                <w:rFonts w:ascii="Verdana" w:hAnsi="Verdana"/>
              </w:rPr>
              <w:t>Targeted level of provision</w:t>
            </w:r>
          </w:p>
        </w:tc>
        <w:tc>
          <w:tcPr>
            <w:tcW w:w="1803" w:type="dxa"/>
          </w:tcPr>
          <w:p w14:paraId="09ED478A" w14:textId="77777777" w:rsidR="00503DFE" w:rsidRPr="00503DFE" w:rsidRDefault="00503DFE" w:rsidP="00304CB9">
            <w:pPr>
              <w:pStyle w:val="Tabletext"/>
              <w:rPr>
                <w:rFonts w:ascii="Verdana" w:hAnsi="Verdana"/>
              </w:rPr>
            </w:pPr>
            <w:r w:rsidRPr="00503DFE">
              <w:rPr>
                <w:rFonts w:ascii="Verdana" w:hAnsi="Verdana"/>
              </w:rPr>
              <w:t>Start/ end date</w:t>
            </w:r>
          </w:p>
        </w:tc>
      </w:tr>
      <w:tr w:rsidR="00503DFE" w:rsidRPr="00503DFE" w14:paraId="3822E3E3" w14:textId="77777777" w:rsidTr="00C13C17">
        <w:trPr>
          <w:trHeight w:val="300"/>
        </w:trPr>
        <w:tc>
          <w:tcPr>
            <w:tcW w:w="1473" w:type="dxa"/>
            <w:hideMark/>
          </w:tcPr>
          <w:p w14:paraId="5D7901CC" w14:textId="77777777" w:rsidR="00503DFE" w:rsidRPr="00503DFE" w:rsidRDefault="00503DFE" w:rsidP="00304CB9">
            <w:pPr>
              <w:pStyle w:val="Tabletext"/>
              <w:rPr>
                <w:rFonts w:ascii="Verdana" w:hAnsi="Verdana"/>
              </w:rPr>
            </w:pPr>
            <w:r w:rsidRPr="00503DFE">
              <w:rPr>
                <w:rFonts w:ascii="Verdana" w:hAnsi="Verdana"/>
              </w:rPr>
              <w:t>New opportunities programme</w:t>
            </w:r>
            <w:r w:rsidRPr="00503DFE">
              <w:rPr>
                <w:rStyle w:val="FootnoteReference"/>
                <w:rFonts w:ascii="Verdana" w:hAnsi="Verdana"/>
              </w:rPr>
              <w:footnoteReference w:id="101"/>
            </w:r>
          </w:p>
        </w:tc>
        <w:tc>
          <w:tcPr>
            <w:tcW w:w="1167" w:type="dxa"/>
            <w:hideMark/>
          </w:tcPr>
          <w:p w14:paraId="0646DED5" w14:textId="77777777" w:rsidR="00503DFE" w:rsidRPr="00503DFE" w:rsidRDefault="00503DFE" w:rsidP="00304CB9">
            <w:pPr>
              <w:pStyle w:val="Tabletext"/>
              <w:rPr>
                <w:rFonts w:ascii="Verdana" w:hAnsi="Verdana"/>
              </w:rPr>
            </w:pPr>
            <w:r w:rsidRPr="00503DFE">
              <w:rPr>
                <w:rFonts w:ascii="Verdana" w:hAnsi="Verdana"/>
              </w:rPr>
              <w:t>ESF (75%) and national funding (25%)</w:t>
            </w:r>
          </w:p>
        </w:tc>
        <w:tc>
          <w:tcPr>
            <w:tcW w:w="1679" w:type="dxa"/>
            <w:hideMark/>
          </w:tcPr>
          <w:p w14:paraId="67DF3E2F" w14:textId="77777777" w:rsidR="00503DFE" w:rsidRPr="00503DFE" w:rsidRDefault="00503DFE" w:rsidP="00304CB9">
            <w:pPr>
              <w:pStyle w:val="Tabletext"/>
              <w:rPr>
                <w:rFonts w:ascii="Verdana" w:hAnsi="Verdana"/>
              </w:rPr>
            </w:pPr>
            <w:r w:rsidRPr="00503DFE">
              <w:rPr>
                <w:rFonts w:ascii="Verdana" w:hAnsi="Verdana"/>
              </w:rPr>
              <w:t>€3,200,000</w:t>
            </w:r>
          </w:p>
        </w:tc>
        <w:tc>
          <w:tcPr>
            <w:tcW w:w="1437" w:type="dxa"/>
          </w:tcPr>
          <w:p w14:paraId="7A6182BD" w14:textId="77777777" w:rsidR="00503DFE" w:rsidRPr="00503DFE" w:rsidRDefault="00503DFE" w:rsidP="00304CB9">
            <w:pPr>
              <w:pStyle w:val="Tabletext"/>
              <w:rPr>
                <w:rFonts w:ascii="Verdana" w:hAnsi="Verdana"/>
              </w:rPr>
            </w:pPr>
            <w:r w:rsidRPr="00503DFE">
              <w:rPr>
                <w:rFonts w:ascii="Verdana" w:hAnsi="Verdana"/>
              </w:rPr>
              <w:t>1,500,000 adults in recognition of prior learning</w:t>
            </w:r>
          </w:p>
          <w:p w14:paraId="09E17B8F" w14:textId="77777777" w:rsidR="00503DFE" w:rsidRPr="00503DFE" w:rsidRDefault="00503DFE" w:rsidP="00304CB9">
            <w:pPr>
              <w:pStyle w:val="Tabletext"/>
              <w:rPr>
                <w:rFonts w:ascii="Verdana" w:hAnsi="Verdana"/>
              </w:rPr>
            </w:pPr>
            <w:r w:rsidRPr="00503DFE">
              <w:rPr>
                <w:rFonts w:ascii="Verdana" w:hAnsi="Verdana"/>
              </w:rPr>
              <w:lastRenderedPageBreak/>
              <w:t>315,000 in modular training</w:t>
            </w:r>
          </w:p>
          <w:p w14:paraId="2A4DC9D5" w14:textId="77777777" w:rsidR="00503DFE" w:rsidRPr="00503DFE" w:rsidRDefault="00503DFE" w:rsidP="00304CB9">
            <w:pPr>
              <w:pStyle w:val="Tabletext"/>
              <w:rPr>
                <w:rFonts w:ascii="Verdana" w:hAnsi="Verdana"/>
              </w:rPr>
            </w:pPr>
            <w:r w:rsidRPr="00503DFE">
              <w:rPr>
                <w:rFonts w:ascii="Verdana" w:hAnsi="Verdana"/>
              </w:rPr>
              <w:t>32,000 in adult education and training courses</w:t>
            </w:r>
          </w:p>
        </w:tc>
        <w:tc>
          <w:tcPr>
            <w:tcW w:w="1437" w:type="dxa"/>
          </w:tcPr>
          <w:p w14:paraId="0544C2A7" w14:textId="77777777" w:rsidR="00503DFE" w:rsidRPr="00503DFE" w:rsidRDefault="00503DFE" w:rsidP="00304CB9">
            <w:pPr>
              <w:pStyle w:val="Tabletext"/>
              <w:rPr>
                <w:rFonts w:ascii="Verdana" w:hAnsi="Verdana"/>
              </w:rPr>
            </w:pPr>
            <w:r w:rsidRPr="00503DFE">
              <w:rPr>
                <w:rFonts w:ascii="Verdana" w:hAnsi="Verdana"/>
              </w:rPr>
              <w:lastRenderedPageBreak/>
              <w:t xml:space="preserve">Basic and secondary education (up to the 12th school year) and </w:t>
            </w:r>
            <w:r w:rsidRPr="00503DFE">
              <w:rPr>
                <w:rFonts w:ascii="Verdana" w:hAnsi="Verdana"/>
              </w:rPr>
              <w:lastRenderedPageBreak/>
              <w:t>professional qualification (level 4 EQF)</w:t>
            </w:r>
          </w:p>
        </w:tc>
        <w:tc>
          <w:tcPr>
            <w:tcW w:w="1803" w:type="dxa"/>
          </w:tcPr>
          <w:p w14:paraId="39EC4514" w14:textId="77777777" w:rsidR="00503DFE" w:rsidRPr="00503DFE" w:rsidRDefault="00503DFE" w:rsidP="00304CB9">
            <w:pPr>
              <w:pStyle w:val="Tabletext"/>
              <w:rPr>
                <w:rFonts w:ascii="Verdana" w:hAnsi="Verdana"/>
              </w:rPr>
            </w:pPr>
            <w:r w:rsidRPr="00503DFE">
              <w:rPr>
                <w:rFonts w:ascii="Verdana" w:hAnsi="Verdana"/>
              </w:rPr>
              <w:lastRenderedPageBreak/>
              <w:t>2007-2013</w:t>
            </w:r>
          </w:p>
        </w:tc>
      </w:tr>
      <w:tr w:rsidR="00503DFE" w:rsidRPr="00503DFE" w14:paraId="73D105EC" w14:textId="77777777" w:rsidTr="00C13C17">
        <w:trPr>
          <w:trHeight w:val="300"/>
        </w:trPr>
        <w:tc>
          <w:tcPr>
            <w:tcW w:w="1473" w:type="dxa"/>
          </w:tcPr>
          <w:p w14:paraId="2D8D4A37" w14:textId="77777777" w:rsidR="00503DFE" w:rsidRPr="00503DFE" w:rsidRDefault="00503DFE" w:rsidP="00304CB9">
            <w:pPr>
              <w:pStyle w:val="Tabletext"/>
              <w:rPr>
                <w:rFonts w:ascii="Verdana" w:hAnsi="Verdana"/>
              </w:rPr>
            </w:pPr>
            <w:r w:rsidRPr="00503DFE">
              <w:rPr>
                <w:rFonts w:ascii="Verdana" w:hAnsi="Verdana"/>
              </w:rPr>
              <w:t xml:space="preserve">Qualify programme </w:t>
            </w:r>
            <w:r w:rsidRPr="00503DFE">
              <w:rPr>
                <w:rStyle w:val="FootnoteReference"/>
                <w:rFonts w:ascii="Verdana" w:hAnsi="Verdana"/>
              </w:rPr>
              <w:footnoteReference w:id="102"/>
            </w:r>
          </w:p>
        </w:tc>
        <w:tc>
          <w:tcPr>
            <w:tcW w:w="1167" w:type="dxa"/>
          </w:tcPr>
          <w:p w14:paraId="2064F626" w14:textId="77777777" w:rsidR="00503DFE" w:rsidRPr="00503DFE" w:rsidRDefault="00503DFE" w:rsidP="00304CB9">
            <w:pPr>
              <w:pStyle w:val="Tabletext"/>
              <w:rPr>
                <w:rFonts w:ascii="Verdana" w:hAnsi="Verdana"/>
              </w:rPr>
            </w:pPr>
            <w:r w:rsidRPr="00503DFE">
              <w:rPr>
                <w:rFonts w:ascii="Verdana" w:hAnsi="Verdana"/>
              </w:rPr>
              <w:t>ESF (85%) and national funding (15%)</w:t>
            </w:r>
          </w:p>
        </w:tc>
        <w:tc>
          <w:tcPr>
            <w:tcW w:w="1679" w:type="dxa"/>
          </w:tcPr>
          <w:p w14:paraId="5C43E54C" w14:textId="77777777" w:rsidR="00503DFE" w:rsidRPr="00503DFE" w:rsidRDefault="00503DFE" w:rsidP="00304CB9">
            <w:pPr>
              <w:pStyle w:val="Tabletext"/>
              <w:rPr>
                <w:rFonts w:ascii="Verdana" w:hAnsi="Verdana"/>
              </w:rPr>
            </w:pPr>
            <w:r w:rsidRPr="00503DFE">
              <w:rPr>
                <w:rFonts w:ascii="Verdana" w:hAnsi="Verdana"/>
              </w:rPr>
              <w:t>€592,000,000</w:t>
            </w:r>
          </w:p>
        </w:tc>
        <w:tc>
          <w:tcPr>
            <w:tcW w:w="1437" w:type="dxa"/>
          </w:tcPr>
          <w:p w14:paraId="33C0781D" w14:textId="77777777" w:rsidR="00503DFE" w:rsidRPr="00503DFE" w:rsidRDefault="00503DFE" w:rsidP="00304CB9">
            <w:pPr>
              <w:pStyle w:val="Tabletext"/>
              <w:rPr>
                <w:rFonts w:ascii="Verdana" w:hAnsi="Verdana"/>
              </w:rPr>
            </w:pPr>
            <w:r w:rsidRPr="00503DFE">
              <w:rPr>
                <w:rFonts w:ascii="Verdana" w:hAnsi="Verdana"/>
              </w:rPr>
              <w:t>300,000 adults holding school diploma (up to the 12th school year) and/or professional qualification (level 4 EQF)</w:t>
            </w:r>
          </w:p>
          <w:p w14:paraId="79CCD2C3" w14:textId="77777777" w:rsidR="00503DFE" w:rsidRPr="00503DFE" w:rsidRDefault="00503DFE" w:rsidP="00304CB9">
            <w:pPr>
              <w:pStyle w:val="Tabletext"/>
              <w:rPr>
                <w:rFonts w:ascii="Verdana" w:hAnsi="Verdana"/>
              </w:rPr>
            </w:pPr>
            <w:r w:rsidRPr="00503DFE">
              <w:rPr>
                <w:rFonts w:ascii="Verdana" w:hAnsi="Verdana"/>
              </w:rPr>
              <w:t>23,000 adults holding a school diploma (up to the 12th school year) after attending second-chance education (in Portuguese ensino recorrente)</w:t>
            </w:r>
          </w:p>
        </w:tc>
        <w:tc>
          <w:tcPr>
            <w:tcW w:w="1437" w:type="dxa"/>
          </w:tcPr>
          <w:p w14:paraId="41BE8810" w14:textId="77777777" w:rsidR="00503DFE" w:rsidRPr="00503DFE" w:rsidRDefault="00503DFE" w:rsidP="00304CB9">
            <w:pPr>
              <w:pStyle w:val="Tabletext"/>
              <w:rPr>
                <w:rFonts w:ascii="Verdana" w:hAnsi="Verdana"/>
              </w:rPr>
            </w:pPr>
            <w:r w:rsidRPr="00503DFE">
              <w:rPr>
                <w:rFonts w:ascii="Verdana" w:hAnsi="Verdana"/>
              </w:rPr>
              <w:t>Forms of provision allowing school diploma (up to the 12th school year) and/or professional qualification (level 4 EQF)</w:t>
            </w:r>
          </w:p>
        </w:tc>
        <w:tc>
          <w:tcPr>
            <w:tcW w:w="1803" w:type="dxa"/>
          </w:tcPr>
          <w:p w14:paraId="4576A627" w14:textId="77777777" w:rsidR="00503DFE" w:rsidRPr="00503DFE" w:rsidRDefault="00503DFE" w:rsidP="00304CB9">
            <w:pPr>
              <w:pStyle w:val="Tabletext"/>
              <w:rPr>
                <w:rFonts w:ascii="Verdana" w:hAnsi="Verdana"/>
              </w:rPr>
            </w:pPr>
            <w:r w:rsidRPr="00503DFE">
              <w:rPr>
                <w:rFonts w:ascii="Verdana" w:hAnsi="Verdana"/>
              </w:rPr>
              <w:t>2014-2023</w:t>
            </w:r>
          </w:p>
        </w:tc>
      </w:tr>
    </w:tbl>
    <w:p w14:paraId="759EB38D" w14:textId="77777777" w:rsidR="00C13C17" w:rsidRPr="00F32E15" w:rsidRDefault="00C13C17" w:rsidP="00F41B98">
      <w:pPr>
        <w:pStyle w:val="Heading2"/>
        <w:rPr>
          <w:lang w:val="en-GB"/>
        </w:rPr>
      </w:pPr>
      <w:bookmarkStart w:id="36" w:name="_Toc491862504"/>
      <w:r w:rsidRPr="00F32E15">
        <w:rPr>
          <w:lang w:val="en-GB"/>
        </w:rPr>
        <w:t>EU support via structural funds (primarily ESF)</w:t>
      </w:r>
      <w:bookmarkEnd w:id="36"/>
    </w:p>
    <w:p w14:paraId="645B153E" w14:textId="77777777" w:rsidR="00C13C17" w:rsidRPr="00F32E15" w:rsidRDefault="00C13C17" w:rsidP="00C13C17">
      <w:pPr>
        <w:pStyle w:val="Body"/>
        <w:rPr>
          <w:lang w:val="en-GB"/>
        </w:rPr>
      </w:pPr>
      <w:r w:rsidRPr="00F32E15">
        <w:rPr>
          <w:lang w:val="en-GB"/>
        </w:rPr>
        <w:t>The EU support via structural funds, primarily European Social Fund, was fundamental for the:</w:t>
      </w:r>
    </w:p>
    <w:p w14:paraId="154AD074" w14:textId="77777777" w:rsidR="00C13C17" w:rsidRPr="00F32E15" w:rsidRDefault="00C13C17" w:rsidP="00C13C17">
      <w:pPr>
        <w:pStyle w:val="Body"/>
        <w:numPr>
          <w:ilvl w:val="0"/>
          <w:numId w:val="44"/>
        </w:numPr>
        <w:rPr>
          <w:lang w:val="en-GB"/>
        </w:rPr>
      </w:pPr>
      <w:r w:rsidRPr="00F32E15">
        <w:rPr>
          <w:lang w:val="en-GB"/>
        </w:rPr>
        <w:t>National reference framework – Human potential operational programme 2007-2013</w:t>
      </w:r>
      <w:r w:rsidRPr="00780661">
        <w:rPr>
          <w:rStyle w:val="FootnoteReference"/>
        </w:rPr>
        <w:footnoteReference w:id="103"/>
      </w:r>
      <w:r w:rsidRPr="00F32E15">
        <w:rPr>
          <w:lang w:val="en-GB"/>
        </w:rPr>
        <w:t xml:space="preserve"> (that funded New opportunities programme) – 75% of the funding was from the European Social Fund;</w:t>
      </w:r>
    </w:p>
    <w:p w14:paraId="722BBF50" w14:textId="77777777" w:rsidR="00C13C17" w:rsidRPr="00F32E15" w:rsidRDefault="00C13C17" w:rsidP="00C13C17">
      <w:pPr>
        <w:pStyle w:val="Body"/>
        <w:numPr>
          <w:ilvl w:val="0"/>
          <w:numId w:val="44"/>
        </w:numPr>
        <w:rPr>
          <w:lang w:val="en-GB"/>
        </w:rPr>
      </w:pPr>
      <w:r w:rsidRPr="00F32E15">
        <w:rPr>
          <w:lang w:val="en-GB"/>
        </w:rPr>
        <w:lastRenderedPageBreak/>
        <w:t>National reference framework – Human capital operational programme 2014-2020</w:t>
      </w:r>
      <w:r w:rsidRPr="00780661">
        <w:rPr>
          <w:rStyle w:val="FootnoteReference"/>
        </w:rPr>
        <w:footnoteReference w:id="104"/>
      </w:r>
      <w:r w:rsidRPr="00F32E15">
        <w:rPr>
          <w:lang w:val="en-GB"/>
        </w:rPr>
        <w:t xml:space="preserve"> (that funds Qualify programme) – 85% of the funding is from the European Social Fund.</w:t>
      </w:r>
    </w:p>
    <w:p w14:paraId="135763B7" w14:textId="77777777" w:rsidR="00C13C17" w:rsidRPr="00F32E15" w:rsidRDefault="00C13C17" w:rsidP="00F41B98">
      <w:pPr>
        <w:pStyle w:val="Heading3"/>
        <w:rPr>
          <w:lang w:val="en-GB"/>
        </w:rPr>
      </w:pPr>
      <w:bookmarkStart w:id="37" w:name="_Toc491862505"/>
      <w:r w:rsidRPr="00F32E15">
        <w:rPr>
          <w:lang w:val="en-GB"/>
        </w:rPr>
        <w:t>Structural fund support planned as part of 2014-2020 financial framework</w:t>
      </w:r>
      <w:bookmarkEnd w:id="37"/>
    </w:p>
    <w:p w14:paraId="1A991C81" w14:textId="39D8A6E9" w:rsidR="00B74D78" w:rsidRPr="00F32E15" w:rsidRDefault="00C13C17" w:rsidP="00C13C17">
      <w:pPr>
        <w:pStyle w:val="Body"/>
        <w:rPr>
          <w:lang w:val="en-GB"/>
        </w:rPr>
      </w:pPr>
      <w:r w:rsidRPr="00F32E15">
        <w:rPr>
          <w:lang w:val="en-GB"/>
        </w:rPr>
        <w:t>The planned financial support from the European Union for the investment priority most directly targeting adult education, i.e. Investment priority 10.3 – Enhancing access to lifelong learning, is EUR 592 million. This funding aims at increasing qualification and the retraining of human resources, through the improvement of competences, these are more specifically relevant for work, the labour market, and lifelong learning</w:t>
      </w:r>
      <w:r w:rsidRPr="00780661">
        <w:rPr>
          <w:rStyle w:val="FootnoteReference"/>
        </w:rPr>
        <w:footnoteReference w:id="105"/>
      </w:r>
      <w:r w:rsidRPr="00F32E15">
        <w:rPr>
          <w:lang w:val="en-GB"/>
        </w:rPr>
        <w:t xml:space="preserve">. This funding is supporting the ‘Qualify centres’ established in August 2016, recognition of prior learning, adult education and training courses and modular training courses. At present, no data is available in public domains concerning the adult learners enrolled. </w:t>
      </w:r>
    </w:p>
    <w:p w14:paraId="1656A808" w14:textId="77777777" w:rsidR="00C13C17" w:rsidRPr="00F32E15" w:rsidRDefault="00C13C17" w:rsidP="00F41B98">
      <w:pPr>
        <w:pStyle w:val="Heading3"/>
        <w:rPr>
          <w:lang w:val="en-GB"/>
        </w:rPr>
      </w:pPr>
      <w:bookmarkStart w:id="38" w:name="_Toc491862506"/>
      <w:r w:rsidRPr="00F32E15">
        <w:rPr>
          <w:lang w:val="en-GB"/>
        </w:rPr>
        <w:t>EU support via structural funds (primarily ESF) provided as part of 2007-2013 financial framework</w:t>
      </w:r>
      <w:bookmarkEnd w:id="38"/>
    </w:p>
    <w:p w14:paraId="157905EA" w14:textId="77777777" w:rsidR="00C13C17" w:rsidRPr="00F32E15" w:rsidRDefault="00C13C17" w:rsidP="00C13C17">
      <w:pPr>
        <w:pStyle w:val="Body"/>
        <w:rPr>
          <w:lang w:val="en-GB"/>
        </w:rPr>
      </w:pPr>
      <w:r w:rsidRPr="00F32E15">
        <w:rPr>
          <w:lang w:val="en-GB"/>
        </w:rPr>
        <w:t>The financial support from the European Union (European Social Fund) for the investment priority most directly targeting adult learning, i.e. Investment priority 2 – Adaptability and lifelong learning, was EUR 3,200 million</w:t>
      </w:r>
      <w:r w:rsidRPr="0020699C">
        <w:rPr>
          <w:rStyle w:val="FootnoteReference"/>
        </w:rPr>
        <w:footnoteReference w:id="106"/>
      </w:r>
      <w:r w:rsidRPr="00F32E15">
        <w:rPr>
          <w:lang w:val="en-GB"/>
        </w:rPr>
        <w:t>. This funding aimed at increasing qualification and the retraining of human resources (working adults), namely the increasing of school education diplomas up to secondary education (12th year of school education), through the improvement of competences, in specific these relevant for work and the labour market through the development of modular training, and lifelong learning</w:t>
      </w:r>
      <w:r w:rsidRPr="0020699C">
        <w:rPr>
          <w:rStyle w:val="FootnoteReference"/>
        </w:rPr>
        <w:footnoteReference w:id="107"/>
      </w:r>
      <w:r w:rsidRPr="00F32E15">
        <w:rPr>
          <w:lang w:val="en-GB"/>
        </w:rPr>
        <w:t xml:space="preserve">. This funding supported the establishment of centres – called by that time </w:t>
      </w:r>
      <w:proofErr w:type="gramStart"/>
      <w:r w:rsidRPr="00F32E15">
        <w:rPr>
          <w:lang w:val="en-GB"/>
        </w:rPr>
        <w:t>New</w:t>
      </w:r>
      <w:proofErr w:type="gramEnd"/>
      <w:r w:rsidRPr="00F32E15">
        <w:rPr>
          <w:lang w:val="en-GB"/>
        </w:rPr>
        <w:t xml:space="preserve"> opportunities centres</w:t>
      </w:r>
      <w:r w:rsidRPr="0020699C">
        <w:rPr>
          <w:rStyle w:val="FootnoteReference"/>
        </w:rPr>
        <w:footnoteReference w:id="108"/>
      </w:r>
      <w:r w:rsidRPr="00F32E15">
        <w:rPr>
          <w:lang w:val="en-GB"/>
        </w:rPr>
        <w:t xml:space="preserve">- that developed mainly recognition of prior learning. </w:t>
      </w:r>
    </w:p>
    <w:p w14:paraId="733D8DAB" w14:textId="77777777" w:rsidR="00027C6B" w:rsidRPr="004021CF" w:rsidRDefault="00027C6B" w:rsidP="00F41B98">
      <w:pPr>
        <w:pStyle w:val="Heading2"/>
      </w:pPr>
      <w:bookmarkStart w:id="39" w:name="_Toc491862507"/>
      <w:r w:rsidRPr="004021CF">
        <w:t>Effectiveness of investment</w:t>
      </w:r>
      <w:bookmarkEnd w:id="39"/>
    </w:p>
    <w:p w14:paraId="1B70DD86" w14:textId="77777777" w:rsidR="00027C6B" w:rsidRPr="00F32E15" w:rsidRDefault="00027C6B" w:rsidP="00027C6B">
      <w:pPr>
        <w:pStyle w:val="Body"/>
        <w:rPr>
          <w:lang w:val="en-GB"/>
        </w:rPr>
      </w:pPr>
      <w:r w:rsidRPr="00F32E15">
        <w:rPr>
          <w:lang w:val="en-GB"/>
        </w:rPr>
        <w:t xml:space="preserve">Funding from 2007 to 2013 allowed a dramatic increase in adult learners joining adult education forms of provision such as the recognition of prior learning, as well as adult education and training courses from 2007 to 2011. </w:t>
      </w:r>
    </w:p>
    <w:p w14:paraId="53EF0FA8" w14:textId="77777777" w:rsidR="00027C6B" w:rsidRPr="00F32E15" w:rsidRDefault="00027C6B" w:rsidP="00027C6B">
      <w:pPr>
        <w:pStyle w:val="Body"/>
        <w:rPr>
          <w:lang w:val="en-GB"/>
        </w:rPr>
      </w:pPr>
      <w:r w:rsidRPr="00F32E15">
        <w:rPr>
          <w:lang w:val="en-GB"/>
        </w:rPr>
        <w:t xml:space="preserve">In 2012, there was a clear decrease (of 47.3%) of funding that had by that time a similar amount to the one from 2008. In 2012, the centres that were created – the </w:t>
      </w:r>
      <w:proofErr w:type="gramStart"/>
      <w:r w:rsidRPr="00F32E15">
        <w:rPr>
          <w:lang w:val="en-GB"/>
        </w:rPr>
        <w:t>New</w:t>
      </w:r>
      <w:proofErr w:type="gramEnd"/>
      <w:r w:rsidRPr="00F32E15">
        <w:rPr>
          <w:lang w:val="en-GB"/>
        </w:rPr>
        <w:t xml:space="preserve"> opportunities centres- were shut down as the adult education policy was suspended. At the end of 2013, the national framework of centres for qualification and vocational education and training was publicly announced and in 2014 these were authorised to carry </w:t>
      </w:r>
      <w:r w:rsidRPr="00F32E15">
        <w:rPr>
          <w:lang w:val="en-GB"/>
        </w:rPr>
        <w:lastRenderedPageBreak/>
        <w:t>out their activities</w:t>
      </w:r>
      <w:r w:rsidRPr="004021CF">
        <w:rPr>
          <w:rStyle w:val="FootnoteReference"/>
        </w:rPr>
        <w:footnoteReference w:id="109"/>
      </w:r>
      <w:r w:rsidRPr="00F32E15">
        <w:rPr>
          <w:lang w:val="en-GB"/>
        </w:rPr>
        <w:t>. However, in 2014 there was still a reduction of 4 million euros of funding compared to 2013</w:t>
      </w:r>
      <w:r w:rsidRPr="004021CF">
        <w:rPr>
          <w:rStyle w:val="FootnoteReference"/>
        </w:rPr>
        <w:footnoteReference w:id="110"/>
      </w:r>
      <w:r w:rsidRPr="00F32E15">
        <w:rPr>
          <w:lang w:val="en-GB"/>
        </w:rPr>
        <w:t>. Therefore, 2013-2014 was the period in which fewer adult learners were enrolled, and 2014-2015 showed an increase, although the number was lower than the one from 2007-2008 as already noticed in Table 3.1 (section 3.2.1 of this report).</w:t>
      </w:r>
    </w:p>
    <w:p w14:paraId="6DE14EE0" w14:textId="02A4F2DC" w:rsidR="00027C6B" w:rsidRPr="00F32E15" w:rsidRDefault="00027C6B">
      <w:pPr>
        <w:spacing w:after="0"/>
        <w:jc w:val="left"/>
        <w:rPr>
          <w:rFonts w:ascii="Verdana" w:hAnsi="Verdana"/>
          <w:sz w:val="20"/>
          <w:lang w:val="en-GB"/>
        </w:rPr>
      </w:pPr>
      <w:r w:rsidRPr="00F32E15">
        <w:rPr>
          <w:lang w:val="en-GB"/>
        </w:rPr>
        <w:br w:type="page"/>
      </w:r>
    </w:p>
    <w:p w14:paraId="1ABEAB8E" w14:textId="77777777" w:rsidR="00027C6B" w:rsidRPr="001D0428" w:rsidRDefault="00027C6B" w:rsidP="00C020D0">
      <w:pPr>
        <w:pStyle w:val="Heading1"/>
        <w:keepNext w:val="0"/>
        <w:pageBreakBefore/>
        <w:numPr>
          <w:ilvl w:val="0"/>
          <w:numId w:val="24"/>
        </w:numPr>
        <w:tabs>
          <w:tab w:val="clear" w:pos="1134"/>
          <w:tab w:val="left" w:pos="851"/>
        </w:tabs>
        <w:spacing w:before="0" w:after="360" w:line="288" w:lineRule="auto"/>
        <w:ind w:left="851" w:hanging="851"/>
      </w:pPr>
      <w:bookmarkStart w:id="40" w:name="_Toc491862508"/>
      <w:r w:rsidRPr="001D0428">
        <w:lastRenderedPageBreak/>
        <w:t>Assessment of existing policy</w:t>
      </w:r>
      <w:bookmarkEnd w:id="40"/>
    </w:p>
    <w:p w14:paraId="1FC836D6" w14:textId="77777777" w:rsidR="00027C6B" w:rsidRPr="00F32E15" w:rsidRDefault="00027C6B" w:rsidP="00027C6B">
      <w:pPr>
        <w:pStyle w:val="Body"/>
        <w:rPr>
          <w:lang w:val="en-GB"/>
        </w:rPr>
      </w:pPr>
      <w:bookmarkStart w:id="41" w:name="_Toc465437454"/>
      <w:r w:rsidRPr="00F32E15">
        <w:rPr>
          <w:lang w:val="en-GB"/>
        </w:rPr>
        <w:t>The New opportunities programme (2005-2011) was the object of an external assessment in 2011</w:t>
      </w:r>
      <w:r w:rsidRPr="001D0428">
        <w:rPr>
          <w:rStyle w:val="FootnoteReference"/>
        </w:rPr>
        <w:footnoteReference w:id="111"/>
      </w:r>
      <w:r w:rsidRPr="00F32E15">
        <w:rPr>
          <w:lang w:val="en-GB"/>
        </w:rPr>
        <w:t>. This assessment stressed the programme major achievement, which was the ability to attract low qualified adults to forms of provision, such as recognition of prior learning that valued informal and non-formal learning and by this means to achieve school education certification and/or professional qualification. The high number of enrolments was strongly emphasised. Additionally, it was noted that this programme involved bringing adult learners to lifelong learning by pedagogic innovation, and an increase of personal motivation and self-esteem. Consequently, adult learners started to believe that education was something good and interesting, and they wanted to keep on learning.</w:t>
      </w:r>
    </w:p>
    <w:p w14:paraId="5EEC77D2" w14:textId="77777777" w:rsidR="00027C6B" w:rsidRPr="00F32E15" w:rsidRDefault="00027C6B" w:rsidP="00027C6B">
      <w:pPr>
        <w:pStyle w:val="Body"/>
        <w:rPr>
          <w:lang w:val="en-GB"/>
        </w:rPr>
      </w:pPr>
      <w:r w:rsidRPr="00F32E15">
        <w:rPr>
          <w:lang w:val="en-GB"/>
        </w:rPr>
        <w:t>In 2012 another external evaluation</w:t>
      </w:r>
      <w:r w:rsidRPr="001D0428">
        <w:rPr>
          <w:rStyle w:val="FootnoteReference"/>
        </w:rPr>
        <w:footnoteReference w:id="112"/>
      </w:r>
      <w:r w:rsidRPr="00F32E15">
        <w:rPr>
          <w:lang w:val="en-GB"/>
        </w:rPr>
        <w:t xml:space="preserve"> was made to existing forms of provision, namely the recognition of prior learning, adult education and training courses and modular training. This study was aimed at assessing adults (who attended recognition of prior learning, adult education courses and modular training) performance in the labor market. Conclusions stressed the fact that only the recognition of prior learning leading to professional qualification or the recognition of prior learning that included modular training, had improved adult employability. The impact of recognition of prior learning in salaries was negligible. For adult education and training courses there was a small impact when people were unemployed. After completing such a course there was an increase of possibilities of getting a job, and also higher possibilities for a salary raise. The political decision of suspending the adult education policy in 2011 was supported by conclusions in this evaluation, that adult education policy did not have a relevant impact in improving employability.</w:t>
      </w:r>
    </w:p>
    <w:p w14:paraId="30BDA974" w14:textId="77777777" w:rsidR="00027C6B" w:rsidRPr="00F32E15" w:rsidRDefault="00027C6B" w:rsidP="00027C6B">
      <w:pPr>
        <w:pStyle w:val="Body"/>
        <w:rPr>
          <w:lang w:val="en-GB"/>
        </w:rPr>
      </w:pPr>
      <w:r w:rsidRPr="00F32E15">
        <w:rPr>
          <w:lang w:val="en-GB"/>
        </w:rPr>
        <w:t xml:space="preserve">Therefore, evaluations that are available and referred in this report concern the adult education policy adopted after 2005 within the </w:t>
      </w:r>
      <w:proofErr w:type="gramStart"/>
      <w:r w:rsidRPr="00F32E15">
        <w:rPr>
          <w:lang w:val="en-GB"/>
        </w:rPr>
        <w:t>New</w:t>
      </w:r>
      <w:proofErr w:type="gramEnd"/>
      <w:r w:rsidRPr="00F32E15">
        <w:rPr>
          <w:lang w:val="en-GB"/>
        </w:rPr>
        <w:t xml:space="preserve"> opportunities programme</w:t>
      </w:r>
      <w:r w:rsidRPr="001D0428">
        <w:rPr>
          <w:rStyle w:val="FootnoteReference"/>
        </w:rPr>
        <w:footnoteReference w:id="113"/>
      </w:r>
      <w:r w:rsidRPr="00F32E15">
        <w:rPr>
          <w:lang w:val="en-GB"/>
        </w:rPr>
        <w:t>.</w:t>
      </w:r>
    </w:p>
    <w:p w14:paraId="771A8BC6" w14:textId="77777777" w:rsidR="00027C6B" w:rsidRPr="00F32E15" w:rsidRDefault="00027C6B" w:rsidP="00027C6B">
      <w:pPr>
        <w:pStyle w:val="Body"/>
        <w:rPr>
          <w:lang w:val="en-GB"/>
        </w:rPr>
      </w:pPr>
      <w:r w:rsidRPr="00F32E15">
        <w:rPr>
          <w:lang w:val="en-GB"/>
        </w:rPr>
        <w:t>Neither the current adult education policy implemented after the legislation of August 2016</w:t>
      </w:r>
      <w:r w:rsidRPr="001D0428">
        <w:rPr>
          <w:rStyle w:val="FootnoteReference"/>
        </w:rPr>
        <w:footnoteReference w:id="114"/>
      </w:r>
      <w:r w:rsidRPr="00F32E15">
        <w:rPr>
          <w:lang w:val="en-GB"/>
        </w:rPr>
        <w:t>, or even the one adopted after the legislation from 2013</w:t>
      </w:r>
      <w:r w:rsidRPr="001D0428">
        <w:rPr>
          <w:rStyle w:val="FootnoteReference"/>
        </w:rPr>
        <w:footnoteReference w:id="115"/>
      </w:r>
      <w:r w:rsidRPr="00F32E15">
        <w:rPr>
          <w:lang w:val="en-GB"/>
        </w:rPr>
        <w:t xml:space="preserve">, have been evaluated in reports that are available in the public domain. </w:t>
      </w:r>
    </w:p>
    <w:p w14:paraId="50711374" w14:textId="77777777" w:rsidR="00027C6B" w:rsidRPr="00F32E15" w:rsidRDefault="00027C6B" w:rsidP="00027C6B">
      <w:pPr>
        <w:pStyle w:val="Body"/>
        <w:rPr>
          <w:lang w:val="en-GB"/>
        </w:rPr>
      </w:pPr>
      <w:r w:rsidRPr="00F32E15">
        <w:rPr>
          <w:lang w:val="en-GB"/>
        </w:rPr>
        <w:t>Few research projects have been paying attention to the Older than 23 programme</w:t>
      </w:r>
      <w:r w:rsidRPr="001D0428">
        <w:rPr>
          <w:rStyle w:val="FootnoteReference"/>
        </w:rPr>
        <w:footnoteReference w:id="116"/>
      </w:r>
      <w:r w:rsidRPr="00F32E15">
        <w:rPr>
          <w:lang w:val="en-GB"/>
        </w:rPr>
        <w:t xml:space="preserve">. These research projects refer the high drop-out rate of this category of learners, however </w:t>
      </w:r>
      <w:r w:rsidRPr="00F32E15">
        <w:rPr>
          <w:lang w:val="en-GB"/>
        </w:rPr>
        <w:lastRenderedPageBreak/>
        <w:t xml:space="preserve">the high motivation they expressed in spite of the lack of time for studying is also emphasised. </w:t>
      </w:r>
    </w:p>
    <w:p w14:paraId="1D0431F8" w14:textId="77777777" w:rsidR="00027C6B" w:rsidRPr="00F32E15" w:rsidRDefault="00027C6B" w:rsidP="00027C6B">
      <w:pPr>
        <w:pStyle w:val="Body"/>
        <w:rPr>
          <w:lang w:val="en-GB"/>
        </w:rPr>
      </w:pPr>
      <w:r w:rsidRPr="00F32E15">
        <w:rPr>
          <w:lang w:val="en-GB"/>
        </w:rPr>
        <w:t>No assessment report including other data could be found in the public domain referring to this programme, neither to validation of non-formal and informal learning and professional technical courses.</w:t>
      </w:r>
    </w:p>
    <w:p w14:paraId="5233D63C" w14:textId="0380353D" w:rsidR="00503DFE" w:rsidRPr="00F32E15" w:rsidRDefault="00027C6B" w:rsidP="00027C6B">
      <w:pPr>
        <w:pStyle w:val="Body"/>
        <w:rPr>
          <w:lang w:val="en-GB"/>
        </w:rPr>
      </w:pPr>
      <w:r w:rsidRPr="00F32E15">
        <w:rPr>
          <w:lang w:val="en-GB"/>
        </w:rPr>
        <w:t>In general, projects and activities that are not State-regulated do not get funding within adult education policies. However, these initiatives are often funded indirectly by the State (through programmes directed at fighting poverty, supporting women socially deprived, etc.), through local public municipalities or European Union programmes (such as Erasmus+ and other lifelong learning programmes). In addition, many volunteers are involved in such activities and projects. Data referring to the programmes and activities may be found; however, it refers to very specific initiatives, not giving a general assessment overview.</w:t>
      </w:r>
      <w:bookmarkEnd w:id="41"/>
    </w:p>
    <w:p w14:paraId="4E641A63" w14:textId="77777777" w:rsidR="00027C6B" w:rsidRPr="00EB6FB2" w:rsidRDefault="00027C6B" w:rsidP="00F41B98">
      <w:pPr>
        <w:pStyle w:val="Heading2"/>
      </w:pPr>
      <w:bookmarkStart w:id="42" w:name="_Toc491862509"/>
      <w:r w:rsidRPr="00EB6FB2">
        <w:t>Develop learners’ interest in learning</w:t>
      </w:r>
      <w:bookmarkEnd w:id="42"/>
    </w:p>
    <w:p w14:paraId="715535BB" w14:textId="77777777" w:rsidR="00027C6B" w:rsidRPr="00F32E15" w:rsidRDefault="00027C6B" w:rsidP="00027C6B">
      <w:pPr>
        <w:pStyle w:val="Body"/>
        <w:rPr>
          <w:lang w:val="en-GB"/>
        </w:rPr>
      </w:pPr>
      <w:r w:rsidRPr="00F32E15">
        <w:rPr>
          <w:lang w:val="en-GB"/>
        </w:rPr>
        <w:t xml:space="preserve">The evaluation studies of the </w:t>
      </w:r>
      <w:proofErr w:type="gramStart"/>
      <w:r w:rsidRPr="00F32E15">
        <w:rPr>
          <w:lang w:val="en-GB"/>
        </w:rPr>
        <w:t>New</w:t>
      </w:r>
      <w:proofErr w:type="gramEnd"/>
      <w:r w:rsidRPr="00F32E15">
        <w:rPr>
          <w:lang w:val="en-GB"/>
        </w:rPr>
        <w:t xml:space="preserve"> opportunities programme found that adult learners did understand the aims of the adult education policy implemented from 2005 to 2011, and were eager to attend the forms of provision existing, such as recognition of prior learning and adult education and training courses. The policy improved the adult </w:t>
      </w:r>
      <w:proofErr w:type="gramStart"/>
      <w:r w:rsidRPr="00F32E15">
        <w:rPr>
          <w:lang w:val="en-GB"/>
        </w:rPr>
        <w:t>learners</w:t>
      </w:r>
      <w:proofErr w:type="gramEnd"/>
      <w:r w:rsidRPr="00F32E15">
        <w:rPr>
          <w:lang w:val="en-GB"/>
        </w:rPr>
        <w:t xml:space="preserve"> disposition towards learning. The idea of improving school certification and professional qualification was very appreciated by adult learners. They believed that to have higher certification could have an impact in professional domain, and adult learners could get a better job after concluding learning, or could be promoted and get a higher salary</w:t>
      </w:r>
      <w:r w:rsidRPr="00EB6FB2">
        <w:rPr>
          <w:rStyle w:val="FootnoteReference"/>
        </w:rPr>
        <w:footnoteReference w:id="117"/>
      </w:r>
      <w:r w:rsidRPr="00F32E15">
        <w:rPr>
          <w:lang w:val="en-GB"/>
        </w:rPr>
        <w:t xml:space="preserve"> (which did not happen with the large majority of adult learners who got a certification/qualification). </w:t>
      </w:r>
    </w:p>
    <w:p w14:paraId="6CFB4B1B" w14:textId="5CCDD375" w:rsidR="00027C6B" w:rsidRPr="00F32E15" w:rsidRDefault="00027C6B" w:rsidP="00027C6B">
      <w:pPr>
        <w:pStyle w:val="Body"/>
        <w:rPr>
          <w:lang w:val="en-GB"/>
        </w:rPr>
      </w:pPr>
      <w:r w:rsidRPr="00F32E15">
        <w:rPr>
          <w:lang w:val="en-GB"/>
        </w:rPr>
        <w:t>Forms of provision improved access for adult learners, and there were many adult education centres located in every region of the country. These centres developed provision according to the needs and time available to adult learners. Additionally, after concluding the provision and getting a school certificate and/or professional qualification, adult learners felt more self-confident and able to face new challenges. Therefore, after concluding the provision, adult learners referred to an enlargement of cultural horizons, and a gain in personal experience and acquisition of new knowledge. They felt that they were able to change their lives and wished to improve further formal education paths, by enrolling and attending other education and training provision, and they were pleased to see that other people recognised the effort they made to obtain a certificate or professional qualification.</w:t>
      </w:r>
    </w:p>
    <w:p w14:paraId="67D33FE5" w14:textId="77777777" w:rsidR="00027C6B" w:rsidRPr="00513D5F" w:rsidRDefault="00027C6B" w:rsidP="00F41B98">
      <w:pPr>
        <w:pStyle w:val="Heading2"/>
      </w:pPr>
      <w:bookmarkStart w:id="43" w:name="_Toc491862510"/>
      <w:r w:rsidRPr="00513D5F">
        <w:lastRenderedPageBreak/>
        <w:t>Increase employers’ investment in learning</w:t>
      </w:r>
      <w:bookmarkEnd w:id="43"/>
      <w:r w:rsidRPr="00513D5F">
        <w:t xml:space="preserve"> </w:t>
      </w:r>
    </w:p>
    <w:p w14:paraId="006C0185" w14:textId="557B9114" w:rsidR="00027C6B" w:rsidRPr="00F32E15" w:rsidRDefault="00027C6B" w:rsidP="00C020D0">
      <w:pPr>
        <w:pStyle w:val="Body"/>
        <w:rPr>
          <w:lang w:val="en-GB"/>
        </w:rPr>
      </w:pPr>
      <w:r w:rsidRPr="00F32E15">
        <w:rPr>
          <w:lang w:val="en-GB"/>
        </w:rPr>
        <w:t xml:space="preserve">Evaluations have noted that the link between adult education policy (basic and secondary education forms of provision) and work was the weakest dimension of provision. On the one hand, it was clear that higher educational attainment is important for economic development and the concern of increasing educational attainment rates has been stressed by a large number of international and national </w:t>
      </w:r>
      <w:proofErr w:type="gramStart"/>
      <w:r w:rsidRPr="00F32E15">
        <w:rPr>
          <w:lang w:val="en-GB"/>
        </w:rPr>
        <w:t>organisations  and</w:t>
      </w:r>
      <w:proofErr w:type="gramEnd"/>
      <w:r w:rsidRPr="00F32E15">
        <w:rPr>
          <w:lang w:val="en-GB"/>
        </w:rPr>
        <w:t xml:space="preserve"> researchers: namely these that promote human capital theories</w:t>
      </w:r>
      <w:r w:rsidRPr="00513D5F">
        <w:rPr>
          <w:rStyle w:val="FootnoteReference"/>
        </w:rPr>
        <w:footnoteReference w:id="118"/>
      </w:r>
      <w:r w:rsidRPr="00F32E15">
        <w:rPr>
          <w:lang w:val="en-GB"/>
        </w:rPr>
        <w:t>. However, the large majority of enterprises in Portugal are micro, small or medium sized, in which employers do not value much education and training and in which many workers are low educated and trained</w:t>
      </w:r>
      <w:r w:rsidRPr="00513D5F">
        <w:rPr>
          <w:rStyle w:val="FootnoteReference"/>
        </w:rPr>
        <w:footnoteReference w:id="119"/>
      </w:r>
      <w:r w:rsidRPr="00F32E15">
        <w:rPr>
          <w:lang w:val="en-GB"/>
        </w:rPr>
        <w:t>. One of the reasons pointed to explain this situation is the fact that nor employers or workers seem to consider that adult education provision improves neither productivity nor an increase in skills. Important skills are the outcome from school certification, general in character, and skills that are not specific, nor clearly linked to professional tasks or a job</w:t>
      </w:r>
      <w:r w:rsidRPr="00513D5F">
        <w:rPr>
          <w:rStyle w:val="FootnoteReference"/>
        </w:rPr>
        <w:footnoteReference w:id="120"/>
      </w:r>
      <w:r w:rsidRPr="00F32E15">
        <w:rPr>
          <w:lang w:val="en-GB"/>
        </w:rPr>
        <w:t>.</w:t>
      </w:r>
    </w:p>
    <w:p w14:paraId="7B1EBDDD" w14:textId="77777777" w:rsidR="00027C6B" w:rsidRPr="00F32E15" w:rsidRDefault="00027C6B" w:rsidP="00F41B98">
      <w:pPr>
        <w:pStyle w:val="Heading2"/>
        <w:rPr>
          <w:lang w:val="en-GB"/>
        </w:rPr>
      </w:pPr>
      <w:bookmarkStart w:id="44" w:name="_Toc491862511"/>
      <w:r w:rsidRPr="00F32E15">
        <w:rPr>
          <w:lang w:val="en-GB"/>
        </w:rPr>
        <w:t>Improve equity of access for all</w:t>
      </w:r>
      <w:bookmarkEnd w:id="44"/>
      <w:r w:rsidRPr="00F32E15">
        <w:rPr>
          <w:lang w:val="en-GB"/>
        </w:rPr>
        <w:t xml:space="preserve"> </w:t>
      </w:r>
    </w:p>
    <w:p w14:paraId="6566AEC2" w14:textId="77777777" w:rsidR="00027C6B" w:rsidRPr="00F32E15" w:rsidRDefault="00027C6B" w:rsidP="00027C6B">
      <w:pPr>
        <w:pStyle w:val="BodyText"/>
        <w:rPr>
          <w:lang w:val="en-GB"/>
        </w:rPr>
      </w:pPr>
      <w:r w:rsidRPr="00F32E15">
        <w:rPr>
          <w:lang w:val="en-GB"/>
        </w:rPr>
        <w:t xml:space="preserve">Existing provision is directed at people who did not have a school certification or professional qualification. Therefore, access is wide and adult learners face equality of access as provision is not target-oriented. The increase in adult learners enrolled and certified after attending the existing provision illustrates this situation. The New opportunities programme included a wide spread of information directed at the general Portuguese population (by the use of ICT, mass media, etc.). A large network of adult education centres, the </w:t>
      </w:r>
      <w:proofErr w:type="gramStart"/>
      <w:r w:rsidRPr="00F32E15">
        <w:rPr>
          <w:lang w:val="en-GB"/>
        </w:rPr>
        <w:t>New</w:t>
      </w:r>
      <w:proofErr w:type="gramEnd"/>
      <w:r w:rsidRPr="00F32E15">
        <w:rPr>
          <w:lang w:val="en-GB"/>
        </w:rPr>
        <w:t xml:space="preserve"> opportunities centres, was established in the whole country. These centres were open during the day and in the evening, in order to assist people that could not attend provision during working hours. Additionally, these centres hired adult educators who provided guidance and counselling. That was important for adult learners to choose and build education and training paths. Provision such as recognition of prior learning that valued life experiences and knowledge obtained through life, was also considered important to improve equality of access of adult learners interested in joining adult education and training</w:t>
      </w:r>
      <w:r w:rsidRPr="006806F1">
        <w:rPr>
          <w:rStyle w:val="FootnoteReference"/>
        </w:rPr>
        <w:footnoteReference w:id="121"/>
      </w:r>
      <w:r w:rsidRPr="00F32E15">
        <w:rPr>
          <w:lang w:val="en-GB"/>
        </w:rPr>
        <w:t>.</w:t>
      </w:r>
    </w:p>
    <w:p w14:paraId="0CCFC874" w14:textId="77777777" w:rsidR="00027C6B" w:rsidRPr="00600673" w:rsidRDefault="00027C6B" w:rsidP="00F41B98">
      <w:pPr>
        <w:pStyle w:val="Heading2"/>
      </w:pPr>
      <w:bookmarkStart w:id="45" w:name="_Toc491862512"/>
      <w:r w:rsidRPr="00600673">
        <w:lastRenderedPageBreak/>
        <w:t>Deliver learning that is relevant</w:t>
      </w:r>
      <w:bookmarkEnd w:id="45"/>
      <w:r w:rsidRPr="00600673">
        <w:t xml:space="preserve"> </w:t>
      </w:r>
    </w:p>
    <w:p w14:paraId="1A49CBC8" w14:textId="77777777" w:rsidR="00027C6B" w:rsidRPr="00F32E15" w:rsidRDefault="00027C6B" w:rsidP="00027C6B">
      <w:pPr>
        <w:pStyle w:val="Body"/>
        <w:rPr>
          <w:lang w:val="en-GB"/>
        </w:rPr>
      </w:pPr>
      <w:r w:rsidRPr="00F32E15">
        <w:rPr>
          <w:lang w:val="en-GB"/>
        </w:rPr>
        <w:t xml:space="preserve">In general, before elections the political parties’ programmes are written after several consultation occasions, in which political leaders and other staff meet with relevant social actors in order to identify problems and needs of the Portuguese society. The consultation process which occurred between political parties and social programmes to design the political programmes prior to the elections played a significant role in identifying how to deliver relevant learning in adult education. </w:t>
      </w:r>
    </w:p>
    <w:p w14:paraId="1C1B6FA1" w14:textId="77777777" w:rsidR="00027C6B" w:rsidRPr="00F32E15" w:rsidRDefault="00027C6B" w:rsidP="00027C6B">
      <w:pPr>
        <w:pStyle w:val="Body"/>
        <w:rPr>
          <w:lang w:val="en-GB"/>
        </w:rPr>
      </w:pPr>
      <w:r w:rsidRPr="00F32E15">
        <w:rPr>
          <w:lang w:val="en-GB"/>
        </w:rPr>
        <w:t>When the Socialist Party was elected in 2015, its programme included a few paragraphs devoted to adult education</w:t>
      </w:r>
      <w:r w:rsidRPr="00600673">
        <w:rPr>
          <w:rStyle w:val="FootnoteReference"/>
        </w:rPr>
        <w:footnoteReference w:id="122"/>
      </w:r>
      <w:r w:rsidRPr="00F32E15">
        <w:rPr>
          <w:lang w:val="en-GB"/>
        </w:rPr>
        <w:t>. The referred paragraphs were included later in the main guidelines for public policies</w:t>
      </w:r>
      <w:r w:rsidRPr="00600673">
        <w:rPr>
          <w:rStyle w:val="FootnoteReference"/>
        </w:rPr>
        <w:footnoteReference w:id="123"/>
      </w:r>
      <w:r w:rsidRPr="00F32E15">
        <w:rPr>
          <w:lang w:val="en-GB"/>
        </w:rPr>
        <w:t xml:space="preserve"> to be implemented from 2016 to 2019. The argument that supported the adult education policy was the low productivity and competitiveness of the Portuguese economy due to lack of (school and professional) certification/qualification of the working population. This situation was considered a serious constrain to social cohesion. Therefore, the qualification of the Portuguese was set as one of the six pillars of the Government intervention. </w:t>
      </w:r>
    </w:p>
    <w:p w14:paraId="63964143" w14:textId="77777777" w:rsidR="00027C6B" w:rsidRPr="00F32E15" w:rsidRDefault="00027C6B" w:rsidP="00027C6B">
      <w:pPr>
        <w:pStyle w:val="Body"/>
        <w:rPr>
          <w:lang w:val="en-GB"/>
        </w:rPr>
      </w:pPr>
      <w:r w:rsidRPr="00F32E15">
        <w:rPr>
          <w:lang w:val="en-GB"/>
        </w:rPr>
        <w:t>The main guidelines included the importance of promoting adult education and training throughout life of working adults. These guidelines were again highlighted in 2017</w:t>
      </w:r>
      <w:r w:rsidRPr="00600673">
        <w:rPr>
          <w:rStyle w:val="FootnoteReference"/>
        </w:rPr>
        <w:footnoteReference w:id="124"/>
      </w:r>
      <w:r w:rsidRPr="00F32E15">
        <w:rPr>
          <w:lang w:val="en-GB"/>
        </w:rPr>
        <w:t xml:space="preserve"> and were reinforced by the economic and social council</w:t>
      </w:r>
      <w:r w:rsidRPr="00600673">
        <w:rPr>
          <w:rStyle w:val="FootnoteReference"/>
        </w:rPr>
        <w:footnoteReference w:id="125"/>
      </w:r>
      <w:r w:rsidRPr="00F32E15">
        <w:rPr>
          <w:lang w:val="en-GB"/>
        </w:rPr>
        <w:t xml:space="preserve"> in its statement (from 13/10/2016) on these main guidelines</w:t>
      </w:r>
      <w:r w:rsidRPr="00600673">
        <w:rPr>
          <w:rStyle w:val="FootnoteReference"/>
        </w:rPr>
        <w:footnoteReference w:id="126"/>
      </w:r>
      <w:r w:rsidRPr="00F32E15">
        <w:rPr>
          <w:lang w:val="en-GB"/>
        </w:rPr>
        <w:t>. In this statement the professional and trade union organisations was emphasised the need to coordinate policies related to Portuguese qualifications and those that lead entrepreneurship. The valuing of social partners and civil society organisations in what refers to the qualification of working adults was also pointed out, as well as the need of an economic policy that would favour the increasing of salaries and career progression with the raise of qualifications.</w:t>
      </w:r>
    </w:p>
    <w:p w14:paraId="16529603" w14:textId="77777777" w:rsidR="00027C6B" w:rsidRPr="00F32E15" w:rsidRDefault="00027C6B" w:rsidP="00027C6B">
      <w:pPr>
        <w:pStyle w:val="Body"/>
        <w:rPr>
          <w:lang w:val="en-GB"/>
        </w:rPr>
      </w:pPr>
      <w:r w:rsidRPr="00F32E15">
        <w:rPr>
          <w:lang w:val="en-GB"/>
        </w:rPr>
        <w:t>Additionally, the national agency for qualification and vocational education and training establishes sectoral councils for qualification that are technical and consultation working groups</w:t>
      </w:r>
      <w:r w:rsidRPr="00600673">
        <w:rPr>
          <w:rStyle w:val="FootnoteReference"/>
        </w:rPr>
        <w:footnoteReference w:id="127"/>
      </w:r>
      <w:r w:rsidRPr="00F32E15">
        <w:rPr>
          <w:lang w:val="en-GB"/>
        </w:rPr>
        <w:t xml:space="preserve"> on specific fields of economic and work development to identify qualification </w:t>
      </w:r>
      <w:r w:rsidRPr="00F32E15">
        <w:rPr>
          <w:lang w:val="en-GB"/>
        </w:rPr>
        <w:lastRenderedPageBreak/>
        <w:t>needs. These are to be included in the national qualifications catalogue in order to develop adult education and training forms of provision relevant for economic development.</w:t>
      </w:r>
    </w:p>
    <w:p w14:paraId="2E4356CE" w14:textId="4956C622" w:rsidR="00027C6B" w:rsidRPr="00F32E15" w:rsidRDefault="00027C6B" w:rsidP="00027C6B">
      <w:pPr>
        <w:pStyle w:val="Body"/>
        <w:rPr>
          <w:lang w:val="en-GB"/>
        </w:rPr>
      </w:pPr>
      <w:r w:rsidRPr="00F32E15">
        <w:rPr>
          <w:lang w:val="en-GB"/>
        </w:rPr>
        <w:t>Apart from these documents and organisations referred before that have had influence in the definition and implementation of the adult education and training policy, civil society organisations (such as the Portuguese association of adult education and training</w:t>
      </w:r>
      <w:r w:rsidRPr="00600673">
        <w:rPr>
          <w:rStyle w:val="FootnoteReference"/>
        </w:rPr>
        <w:footnoteReference w:id="128"/>
      </w:r>
      <w:r w:rsidRPr="00F32E15">
        <w:rPr>
          <w:lang w:val="en-GB"/>
        </w:rPr>
        <w:t>, and the Portuguese association for culture and permanent education</w:t>
      </w:r>
      <w:r w:rsidRPr="00600673">
        <w:rPr>
          <w:rStyle w:val="FootnoteReference"/>
        </w:rPr>
        <w:footnoteReference w:id="129"/>
      </w:r>
      <w:r w:rsidRPr="00F32E15">
        <w:rPr>
          <w:lang w:val="en-GB"/>
        </w:rPr>
        <w:t>, among others) have released statements on adult education policy, for example concerning illiteracy and also the lack of adult education non-formal public provision. However, the impact of these civil society organisations statements in adult education policy was insignificant.</w:t>
      </w:r>
    </w:p>
    <w:p w14:paraId="5C4B8A42" w14:textId="77777777" w:rsidR="00027C6B" w:rsidRPr="00F32E15" w:rsidRDefault="00027C6B" w:rsidP="00F41B98">
      <w:pPr>
        <w:pStyle w:val="Heading2"/>
        <w:rPr>
          <w:lang w:val="en-GB"/>
        </w:rPr>
      </w:pPr>
      <w:bookmarkStart w:id="46" w:name="_Toc491862513"/>
      <w:r w:rsidRPr="00F32E15">
        <w:rPr>
          <w:lang w:val="en-GB"/>
        </w:rPr>
        <w:t>Deliver learning that is of high quality</w:t>
      </w:r>
      <w:bookmarkEnd w:id="46"/>
      <w:r w:rsidRPr="00F32E15">
        <w:rPr>
          <w:lang w:val="en-GB"/>
        </w:rPr>
        <w:t xml:space="preserve"> </w:t>
      </w:r>
    </w:p>
    <w:p w14:paraId="5903F83E" w14:textId="77777777" w:rsidR="00027C6B" w:rsidRPr="00F32E15" w:rsidRDefault="00027C6B" w:rsidP="00027C6B">
      <w:pPr>
        <w:pStyle w:val="Body"/>
        <w:rPr>
          <w:lang w:val="en-GB"/>
        </w:rPr>
      </w:pPr>
      <w:r w:rsidRPr="00F32E15">
        <w:rPr>
          <w:lang w:val="en-GB"/>
        </w:rPr>
        <w:t>Quality assurance decisions and procedures are implemented within the adult education policy as referred in section 3.4 of this report). There is a control system and electronic platform, as well as formal procedures of existing provision and assessment methodologies in use by adult educators in Qualify centres. New methodological guidelines were published regarding recognition of prior learning, concerning evaluation of competences and acquisition of knowledge as well as the adoption of the reference guide for lifelong learning, and a guidance document for the work carried out by the adult educators, including a set of aims that foster knowledge of oneself and the learner’s decision concerning his/her education and training path and professional options.</w:t>
      </w:r>
    </w:p>
    <w:p w14:paraId="08573C71" w14:textId="77777777" w:rsidR="00027C6B" w:rsidRPr="003522B8" w:rsidRDefault="00027C6B" w:rsidP="00F41B98">
      <w:pPr>
        <w:pStyle w:val="Heading2"/>
      </w:pPr>
      <w:bookmarkStart w:id="47" w:name="_Toc491862514"/>
      <w:r w:rsidRPr="003522B8">
        <w:t>Ensure coherent policy</w:t>
      </w:r>
      <w:bookmarkEnd w:id="47"/>
    </w:p>
    <w:p w14:paraId="15B66D55" w14:textId="77777777" w:rsidR="00027C6B" w:rsidRPr="00F32E15" w:rsidRDefault="00027C6B" w:rsidP="00027C6B">
      <w:pPr>
        <w:pStyle w:val="Body"/>
        <w:rPr>
          <w:lang w:val="en-GB"/>
        </w:rPr>
      </w:pPr>
      <w:r w:rsidRPr="00F32E15">
        <w:rPr>
          <w:lang w:val="en-GB"/>
        </w:rPr>
        <w:t>The current adult education policy cannot be considered an integrated policy owing to the small number of provision existing and to the short scope of this provision. According to the European Union documents, such as the Memorandum on Lifelong Learning, published in 2000, lifelong learning includes formal learning, non-formal and informal learning. The current adult education policy only includes provision directed at formal education (basic and secondary education), and no non-formal education provision is supported.</w:t>
      </w:r>
    </w:p>
    <w:p w14:paraId="128D04CA" w14:textId="1A8562AA" w:rsidR="00027C6B" w:rsidRPr="00F32E15" w:rsidRDefault="00027C6B" w:rsidP="00027C6B">
      <w:pPr>
        <w:pStyle w:val="Body"/>
        <w:rPr>
          <w:lang w:val="en-GB"/>
        </w:rPr>
      </w:pPr>
      <w:r w:rsidRPr="00F32E15">
        <w:rPr>
          <w:lang w:val="en-GB"/>
        </w:rPr>
        <w:t>If the co-ordination of the existing provision is considered, such as recognition of prior learning and adult education and training courses, the Qualify centres are developing a relevant role in this domain. It is in these centres that guidance and counselling are provided to adult learners and that support to options referring to education and training pathways building can be obtained</w:t>
      </w:r>
      <w:r w:rsidRPr="003522B8">
        <w:rPr>
          <w:rStyle w:val="FootnoteReference"/>
        </w:rPr>
        <w:footnoteReference w:id="130"/>
      </w:r>
      <w:r w:rsidRPr="00F32E15">
        <w:rPr>
          <w:lang w:val="en-GB"/>
        </w:rPr>
        <w:t>.</w:t>
      </w:r>
    </w:p>
    <w:p w14:paraId="0A26C118" w14:textId="77777777" w:rsidR="00027C6B" w:rsidRPr="00F32E15" w:rsidRDefault="00027C6B">
      <w:pPr>
        <w:spacing w:after="0"/>
        <w:jc w:val="left"/>
        <w:rPr>
          <w:rFonts w:ascii="Verdana" w:hAnsi="Verdana"/>
          <w:sz w:val="20"/>
          <w:lang w:val="en-GB"/>
        </w:rPr>
      </w:pPr>
      <w:r w:rsidRPr="00F32E15">
        <w:rPr>
          <w:lang w:val="en-GB"/>
        </w:rPr>
        <w:br w:type="page"/>
      </w:r>
    </w:p>
    <w:p w14:paraId="52BF5004" w14:textId="77777777" w:rsidR="00027C6B" w:rsidRPr="00F32E15" w:rsidRDefault="00027C6B" w:rsidP="00C020D0">
      <w:pPr>
        <w:pStyle w:val="Heading1"/>
        <w:keepNext w:val="0"/>
        <w:pageBreakBefore/>
        <w:numPr>
          <w:ilvl w:val="0"/>
          <w:numId w:val="24"/>
        </w:numPr>
        <w:tabs>
          <w:tab w:val="clear" w:pos="1134"/>
          <w:tab w:val="left" w:pos="851"/>
        </w:tabs>
        <w:spacing w:before="0" w:after="360" w:line="288" w:lineRule="auto"/>
        <w:ind w:left="851" w:hanging="851"/>
        <w:rPr>
          <w:lang w:val="en-GB"/>
        </w:rPr>
      </w:pPr>
      <w:bookmarkStart w:id="48" w:name="_Toc491862515"/>
      <w:r w:rsidRPr="00F32E15">
        <w:rPr>
          <w:lang w:val="en-GB"/>
        </w:rPr>
        <w:lastRenderedPageBreak/>
        <w:t>Strength and weaknesses of the adult education system</w:t>
      </w:r>
      <w:bookmarkEnd w:id="48"/>
    </w:p>
    <w:p w14:paraId="106D79A1" w14:textId="77777777" w:rsidR="00027C6B" w:rsidRPr="00F32E15" w:rsidRDefault="00027C6B" w:rsidP="00027C6B">
      <w:pPr>
        <w:pStyle w:val="Body"/>
        <w:rPr>
          <w:lang w:val="en-GB"/>
        </w:rPr>
      </w:pPr>
      <w:r w:rsidRPr="00F32E15">
        <w:rPr>
          <w:lang w:val="en-GB"/>
        </w:rPr>
        <w:t>According to the author of this report, and to analysis made by several Portuguese authors referred in this section, the adult education system in this country includes strengths and weaknesses as follows.</w:t>
      </w:r>
    </w:p>
    <w:p w14:paraId="52DFD69A" w14:textId="77777777" w:rsidR="00027C6B" w:rsidRPr="00032787" w:rsidRDefault="00027C6B" w:rsidP="00F41B98">
      <w:pPr>
        <w:pStyle w:val="Heading2"/>
      </w:pPr>
      <w:bookmarkStart w:id="49" w:name="_Toc491862516"/>
      <w:r w:rsidRPr="00032787">
        <w:t>Strengths</w:t>
      </w:r>
      <w:bookmarkEnd w:id="49"/>
    </w:p>
    <w:p w14:paraId="7038A5DD" w14:textId="77777777" w:rsidR="00027C6B" w:rsidRPr="00F32E15" w:rsidRDefault="00027C6B" w:rsidP="00027C6B">
      <w:pPr>
        <w:pStyle w:val="Body"/>
        <w:rPr>
          <w:b/>
          <w:lang w:val="en-GB"/>
        </w:rPr>
      </w:pPr>
      <w:r w:rsidRPr="00F32E15">
        <w:rPr>
          <w:b/>
          <w:lang w:val="en-GB"/>
        </w:rPr>
        <w:t>Adult learning is relevant for learners</w:t>
      </w:r>
    </w:p>
    <w:p w14:paraId="483FF9E8" w14:textId="77777777" w:rsidR="00027C6B" w:rsidRPr="00F32E15" w:rsidRDefault="00027C6B" w:rsidP="00027C6B">
      <w:pPr>
        <w:pStyle w:val="Body"/>
        <w:rPr>
          <w:lang w:val="en-GB"/>
        </w:rPr>
      </w:pPr>
      <w:r w:rsidRPr="00F32E15">
        <w:rPr>
          <w:lang w:val="en-GB"/>
        </w:rPr>
        <w:t>Since 2000, innovative forms of provision (different in structure, contents and evaluation and closer to adult learners needs) were established such as recognition of prior learning, as well as adult education and training courses. These forms of provision have allowed the improvement of learners’ disposition towards learning, the delivery of learning that meets the needs of adult learners, in specific when they attended recognition of prior learning. It has raised the equality of access, and seen an increase of adults’ participation rates and of certification and professional qualification. Meanwhile, these provisions made people consider education as a relevant domain that all could attend and benefit from</w:t>
      </w:r>
      <w:r w:rsidRPr="00027C6B">
        <w:footnoteReference w:id="131"/>
      </w:r>
      <w:r w:rsidRPr="00F32E15">
        <w:rPr>
          <w:lang w:val="en-GB"/>
        </w:rPr>
        <w:t>.</w:t>
      </w:r>
    </w:p>
    <w:p w14:paraId="59632567" w14:textId="77777777" w:rsidR="00027C6B" w:rsidRPr="00F32E15" w:rsidRDefault="00027C6B" w:rsidP="00027C6B">
      <w:pPr>
        <w:pStyle w:val="Body"/>
        <w:rPr>
          <w:b/>
          <w:lang w:val="en-GB"/>
        </w:rPr>
      </w:pPr>
      <w:r w:rsidRPr="00F32E15">
        <w:rPr>
          <w:b/>
          <w:lang w:val="en-GB"/>
        </w:rPr>
        <w:t>Involvement of diverse organisations (State dependent, profit-making and civil society ones)</w:t>
      </w:r>
    </w:p>
    <w:p w14:paraId="4B9EBE61" w14:textId="77777777" w:rsidR="00027C6B" w:rsidRPr="00F32E15" w:rsidRDefault="00027C6B" w:rsidP="00027C6B">
      <w:pPr>
        <w:pStyle w:val="Body"/>
        <w:rPr>
          <w:lang w:val="en-GB"/>
        </w:rPr>
      </w:pPr>
      <w:r w:rsidRPr="00F32E15">
        <w:rPr>
          <w:lang w:val="en-GB"/>
        </w:rPr>
        <w:t>Adult education includes several types of provision, apart from the ones (of a formal kind) included in adult education policy. These other types of provisions suggest the diversity of projects, activities, adult educators and participants. Activities that can be found are implemented by a large variety of organisations: State-dependent, private/profit-making and civil society. These organisations form a wide network that have even established Centros Qualifica, and have implemented existing forms of provision (like recognition of prior learning, adult education courses and modular training). Therefore, these types of provision should be involved in a future adult education policy of a global and integrated nature in order to promote other provision (than basic and secondary education as well as vocational education and training) and to improve equality of access to non-formal and informal education.</w:t>
      </w:r>
    </w:p>
    <w:p w14:paraId="23FA608A" w14:textId="77777777" w:rsidR="00027C6B" w:rsidRPr="00F32E15" w:rsidRDefault="00027C6B" w:rsidP="00027C6B">
      <w:pPr>
        <w:pStyle w:val="Body"/>
        <w:rPr>
          <w:b/>
          <w:lang w:val="en-GB"/>
        </w:rPr>
      </w:pPr>
      <w:r w:rsidRPr="00F32E15">
        <w:rPr>
          <w:b/>
          <w:lang w:val="en-GB"/>
        </w:rPr>
        <w:t>Experienced adult educators</w:t>
      </w:r>
    </w:p>
    <w:p w14:paraId="575644AE" w14:textId="7CB3C909" w:rsidR="00027C6B" w:rsidRPr="00F32E15" w:rsidRDefault="00027C6B" w:rsidP="00027C6B">
      <w:pPr>
        <w:pStyle w:val="Body"/>
        <w:rPr>
          <w:lang w:val="en-GB"/>
        </w:rPr>
      </w:pPr>
      <w:r w:rsidRPr="00F32E15">
        <w:rPr>
          <w:lang w:val="en-GB"/>
        </w:rPr>
        <w:t>At present, a large number of adult educators</w:t>
      </w:r>
      <w:r w:rsidRPr="00027C6B">
        <w:footnoteReference w:id="132"/>
      </w:r>
      <w:r w:rsidRPr="00F32E15">
        <w:rPr>
          <w:lang w:val="en-GB"/>
        </w:rPr>
        <w:t xml:space="preserve"> hold a higher education degree, even if there cannot be found a specific adult education pathway for these practitioners at the </w:t>
      </w:r>
      <w:r w:rsidRPr="00F32E15">
        <w:rPr>
          <w:lang w:val="en-GB"/>
        </w:rPr>
        <w:lastRenderedPageBreak/>
        <w:t>Licenciatura level in higher education institutions. This is a different situation from some decades ago when only a few adult educators held specific knowledge and skills to work in existing forms of provision as well as in other adult education projects and activities. This situation is due to the emergence of professionalisation paths for adult educators in specific those hired in Centros Qualifica, but also owing to the development of research and critical thinking in this scientific domain. This situation suggests a higher quality of education provision that needs to be maintained and reinforced.</w:t>
      </w:r>
    </w:p>
    <w:p w14:paraId="38D0CEE6" w14:textId="77777777" w:rsidR="00304CB9" w:rsidRPr="00516537" w:rsidRDefault="00304CB9" w:rsidP="00F41B98">
      <w:pPr>
        <w:pStyle w:val="Heading2"/>
      </w:pPr>
      <w:bookmarkStart w:id="50" w:name="_Toc491862517"/>
      <w:r w:rsidRPr="00516537">
        <w:t>Weaknesses</w:t>
      </w:r>
      <w:bookmarkEnd w:id="50"/>
    </w:p>
    <w:p w14:paraId="3D9E2E4A" w14:textId="77777777" w:rsidR="00304CB9" w:rsidRPr="00304CB9" w:rsidRDefault="00304CB9" w:rsidP="00304CB9">
      <w:pPr>
        <w:pStyle w:val="Body"/>
        <w:rPr>
          <w:b/>
        </w:rPr>
      </w:pPr>
      <w:r w:rsidRPr="00304CB9">
        <w:rPr>
          <w:b/>
        </w:rPr>
        <w:t>Illiteracy rates</w:t>
      </w:r>
    </w:p>
    <w:p w14:paraId="7862AA77" w14:textId="77777777" w:rsidR="00304CB9" w:rsidRPr="00F32E15" w:rsidRDefault="00304CB9" w:rsidP="00304CB9">
      <w:pPr>
        <w:pStyle w:val="Body"/>
        <w:rPr>
          <w:lang w:val="en-GB"/>
        </w:rPr>
      </w:pPr>
      <w:r w:rsidRPr="00F32E15">
        <w:rPr>
          <w:lang w:val="en-GB"/>
        </w:rPr>
        <w:t>Most of the policy discourse since 1974 refers to the historical educational delay of the Portuguese population. Illiteracy rate in 2015</w:t>
      </w:r>
      <w:r w:rsidRPr="00304CB9">
        <w:footnoteReference w:id="133"/>
      </w:r>
      <w:r w:rsidRPr="00F32E15">
        <w:rPr>
          <w:lang w:val="en-GB"/>
        </w:rPr>
        <w:t xml:space="preserve"> of 5.2% (3.5% for men and 6.8% for women) was still of concern. According to research such as IALS (International Adult Literacy Survey) literacy levels of the adult population were low involving several personal and social constraints for most people, the economy and society</w:t>
      </w:r>
      <w:r w:rsidRPr="00304CB9">
        <w:footnoteReference w:id="134"/>
      </w:r>
      <w:r w:rsidRPr="00F32E15">
        <w:rPr>
          <w:lang w:val="en-GB"/>
        </w:rPr>
        <w:t>. Currently, school abandonment and dropout still present high rates when compared with other European Union or OECD countries</w:t>
      </w:r>
      <w:r w:rsidRPr="00304CB9">
        <w:footnoteReference w:id="135"/>
      </w:r>
      <w:r w:rsidRPr="00F32E15">
        <w:rPr>
          <w:lang w:val="en-GB"/>
        </w:rPr>
        <w:t>. Eurostat data referring to adults’ participation in lifelong learning in 2015 was still far from the benchmark of 15% and further from rates observed in Nordic and Central European countries</w:t>
      </w:r>
      <w:r w:rsidRPr="00304CB9">
        <w:footnoteReference w:id="136"/>
      </w:r>
      <w:r w:rsidRPr="00F32E15">
        <w:rPr>
          <w:lang w:val="en-GB"/>
        </w:rPr>
        <w:t xml:space="preserve">. </w:t>
      </w:r>
    </w:p>
    <w:p w14:paraId="7C329269" w14:textId="77777777" w:rsidR="00304CB9" w:rsidRPr="00F32E15" w:rsidRDefault="00304CB9" w:rsidP="00304CB9">
      <w:pPr>
        <w:pStyle w:val="Body"/>
        <w:rPr>
          <w:lang w:val="en-GB"/>
        </w:rPr>
      </w:pPr>
      <w:r w:rsidRPr="00F32E15">
        <w:rPr>
          <w:lang w:val="en-GB"/>
        </w:rPr>
        <w:t>Additionally, non-participants have been hard to involve in lifelong learning</w:t>
      </w:r>
      <w:r w:rsidRPr="00304CB9">
        <w:footnoteReference w:id="137"/>
      </w:r>
      <w:r w:rsidRPr="00F32E15">
        <w:rPr>
          <w:lang w:val="en-GB"/>
        </w:rPr>
        <w:t>. Even if education policies in the last decades have had a significant impact by increasing educational attainment, there is still a long way to go and existing adult education forms of provision do not seem enough for solving this long-term problem. Additionally, current adult education policy only includes major kinds of provision: recognition of prior learning and adult education and training courses. Owing to the wide variety of education activities, involving organisations and people in formal, non-formal/liberal and informal adult education, the current adult education policy seems insufficient to solve the long-term educational problem of the Portuguese population and to benefit from a wide spectrum of providers, participants and activities.</w:t>
      </w:r>
    </w:p>
    <w:p w14:paraId="34AC5FEF" w14:textId="77777777" w:rsidR="00C020D0" w:rsidRPr="00F32E15" w:rsidRDefault="00C020D0" w:rsidP="00C020D0">
      <w:pPr>
        <w:pStyle w:val="Body"/>
        <w:rPr>
          <w:b/>
          <w:lang w:val="en-GB"/>
        </w:rPr>
      </w:pPr>
      <w:r w:rsidRPr="00F32E15">
        <w:rPr>
          <w:b/>
          <w:lang w:val="en-GB"/>
        </w:rPr>
        <w:br w:type="page"/>
      </w:r>
    </w:p>
    <w:p w14:paraId="3B27B7A9" w14:textId="040AFD84" w:rsidR="00304CB9" w:rsidRPr="00F32E15" w:rsidRDefault="00304CB9" w:rsidP="00C020D0">
      <w:pPr>
        <w:pStyle w:val="Body"/>
        <w:rPr>
          <w:b/>
          <w:lang w:val="en-GB"/>
        </w:rPr>
      </w:pPr>
      <w:r w:rsidRPr="00F32E15">
        <w:rPr>
          <w:b/>
          <w:lang w:val="en-GB"/>
        </w:rPr>
        <w:lastRenderedPageBreak/>
        <w:t>Lack of an integrated and global adult education policy</w:t>
      </w:r>
    </w:p>
    <w:p w14:paraId="7DBDAF6C" w14:textId="3262B7D5" w:rsidR="00B74D78" w:rsidRPr="00F32E15" w:rsidRDefault="00304CB9" w:rsidP="00304CB9">
      <w:pPr>
        <w:pStyle w:val="Body"/>
        <w:rPr>
          <w:lang w:val="en-GB"/>
        </w:rPr>
      </w:pPr>
      <w:r w:rsidRPr="00F32E15">
        <w:rPr>
          <w:lang w:val="en-GB"/>
        </w:rPr>
        <w:t>The lack of an integrated and global adult education policy (a policy that would co-ordinate programmes and projects implemented by very different types of provision of adult education) has as a main outcome the lack of diversification of forms of provision that are State-funded and regulated. Many projects and activities currently implemented are not part of adult education policy, which allows the existence of several types of provision without coherence and policy consistence. This situation has been reinforced by discontinuous adult education policies imposed both at a national</w:t>
      </w:r>
      <w:r w:rsidRPr="00516537">
        <w:rPr>
          <w:rStyle w:val="FootnoteReference"/>
        </w:rPr>
        <w:footnoteReference w:id="138"/>
      </w:r>
      <w:r w:rsidRPr="00F32E15">
        <w:rPr>
          <w:lang w:val="en-GB"/>
        </w:rPr>
        <w:t xml:space="preserve"> and European Union level</w:t>
      </w:r>
      <w:r w:rsidRPr="00516537">
        <w:rPr>
          <w:rStyle w:val="FootnoteReference"/>
        </w:rPr>
        <w:footnoteReference w:id="139"/>
      </w:r>
      <w:r w:rsidRPr="00F32E15">
        <w:rPr>
          <w:lang w:val="en-GB"/>
        </w:rPr>
        <w:t xml:space="preserve"> and by the uniform pattern imposed by funding, namely by the European Social Fund that is mainly directed at school certification and professional qualification including a vocational education and training component. Additionally, the existing adult education policy stresses (formal) education (certification) and (formal) professional qualification for the development of the economy. Although adult education is important, the global and national economy is affected by other more important variables. Therefore, recent policy discourses seem to emphasise too much the link between education and the economy but do not refer to other relevant dimensions (such as the impact of education on social, cultural, political and civic dimensions) of adult education.</w:t>
      </w:r>
    </w:p>
    <w:p w14:paraId="70FFCB0D" w14:textId="67EB4830" w:rsidR="00304CB9" w:rsidRPr="00F32E15" w:rsidRDefault="00304CB9" w:rsidP="00C020D0">
      <w:pPr>
        <w:pStyle w:val="Body"/>
        <w:rPr>
          <w:b/>
          <w:lang w:val="en-GB"/>
        </w:rPr>
      </w:pPr>
      <w:r w:rsidRPr="00F32E15">
        <w:rPr>
          <w:b/>
          <w:lang w:val="en-GB"/>
        </w:rPr>
        <w:t>Lack of relevance of adult education</w:t>
      </w:r>
    </w:p>
    <w:p w14:paraId="201DA5A4" w14:textId="3C52CDE6" w:rsidR="00304CB9" w:rsidRPr="00F32E15" w:rsidRDefault="00304CB9" w:rsidP="00304CB9">
      <w:pPr>
        <w:pStyle w:val="Body"/>
        <w:rPr>
          <w:lang w:val="en-GB"/>
        </w:rPr>
      </w:pPr>
      <w:r w:rsidRPr="00F32E15">
        <w:rPr>
          <w:lang w:val="en-GB"/>
        </w:rPr>
        <w:t>Only on a very few occasions has the adult education policy been considered a central point in policy agenda, and a relevant issue for the Portuguese population. Formal and school education for children and young people has received the main attention from different governments and State departments in charge of education. Even if adult education policy was relevant from 2000 to 2011, the improvement of participation rates in the last decade has not revealed a consistent pattern, which explains the recent decrease of participation rates in lifelong learning. Non-participants still represent an important percentage of the population</w:t>
      </w:r>
      <w:r w:rsidRPr="00516537">
        <w:rPr>
          <w:rStyle w:val="FootnoteReference"/>
        </w:rPr>
        <w:footnoteReference w:id="140"/>
      </w:r>
      <w:r w:rsidRPr="00F32E15">
        <w:rPr>
          <w:lang w:val="en-GB"/>
        </w:rPr>
        <w:t>. A preference for short-term programmes is a characteristic of adult education policies and of projects implemented by many non-State, civil society and non-governmental organisations. The limited national funding and the importance of European Social Fund is another expression of the lack of importance attributed to adult education</w:t>
      </w:r>
      <w:r w:rsidRPr="00516537">
        <w:rPr>
          <w:rStyle w:val="FootnoteReference"/>
        </w:rPr>
        <w:footnoteReference w:id="141"/>
      </w:r>
      <w:r w:rsidRPr="00F32E15">
        <w:rPr>
          <w:lang w:val="en-GB"/>
        </w:rPr>
        <w:t xml:space="preserve">. Therefore, the lack of social, economic, political, cultural </w:t>
      </w:r>
      <w:r w:rsidRPr="00F32E15">
        <w:rPr>
          <w:lang w:val="en-GB"/>
        </w:rPr>
        <w:lastRenderedPageBreak/>
        <w:t>and civic relevance of adult education is a significant weakness that might only be overcome by long-term and stable aimed policies.</w:t>
      </w:r>
    </w:p>
    <w:p w14:paraId="4FB1C659" w14:textId="77777777" w:rsidR="00304CB9" w:rsidRPr="00F32E15" w:rsidRDefault="00304CB9">
      <w:pPr>
        <w:spacing w:after="0"/>
        <w:jc w:val="left"/>
        <w:rPr>
          <w:rFonts w:ascii="Verdana" w:hAnsi="Verdana"/>
          <w:sz w:val="20"/>
          <w:lang w:val="en-GB"/>
        </w:rPr>
      </w:pPr>
      <w:r w:rsidRPr="00F32E15">
        <w:rPr>
          <w:lang w:val="en-GB"/>
        </w:rPr>
        <w:br w:type="page"/>
      </w:r>
    </w:p>
    <w:p w14:paraId="6312D3EE" w14:textId="77777777" w:rsidR="00304CB9" w:rsidRPr="00F32E15" w:rsidRDefault="00304CB9" w:rsidP="00C020D0">
      <w:pPr>
        <w:pStyle w:val="Heading1"/>
        <w:keepNext w:val="0"/>
        <w:pageBreakBefore/>
        <w:numPr>
          <w:ilvl w:val="0"/>
          <w:numId w:val="24"/>
        </w:numPr>
        <w:tabs>
          <w:tab w:val="clear" w:pos="1134"/>
          <w:tab w:val="left" w:pos="851"/>
        </w:tabs>
        <w:spacing w:before="0" w:after="360" w:line="288" w:lineRule="auto"/>
        <w:ind w:left="851" w:hanging="851"/>
        <w:rPr>
          <w:lang w:val="en-GB"/>
        </w:rPr>
      </w:pPr>
      <w:bookmarkStart w:id="51" w:name="_Toc491862518"/>
      <w:r w:rsidRPr="00F32E15">
        <w:rPr>
          <w:lang w:val="en-GB"/>
        </w:rPr>
        <w:lastRenderedPageBreak/>
        <w:t>Further policy reforms and orientations needed</w:t>
      </w:r>
      <w:bookmarkEnd w:id="51"/>
    </w:p>
    <w:p w14:paraId="6459339D" w14:textId="77777777" w:rsidR="00304CB9" w:rsidRPr="00F32E15" w:rsidRDefault="00304CB9" w:rsidP="00304CB9">
      <w:pPr>
        <w:pStyle w:val="Body"/>
        <w:rPr>
          <w:lang w:val="en-GB"/>
        </w:rPr>
      </w:pPr>
      <w:r w:rsidRPr="00F32E15">
        <w:rPr>
          <w:lang w:val="en-GB"/>
        </w:rPr>
        <w:t>Portugal is facing challenges in economic, social and educational domains. A weakness of adult education policies is their discontinuous character. Adult education needs to be part of the national (political, economic, social, cultural and civic) agenda in long-term policies. Funding needs to be assured at a short, medium and eventually a long-term, avoiding discontinuity which has led to suspension and abandonment of policies in the past. It also needs to be based on a model that would include several adult education types of provision that right now do not receive any kind of support or are not even considered domains of adult education policy.</w:t>
      </w:r>
    </w:p>
    <w:p w14:paraId="4D1E0C4A" w14:textId="77777777" w:rsidR="00304CB9" w:rsidRPr="00F32E15" w:rsidRDefault="00304CB9" w:rsidP="00304CB9">
      <w:pPr>
        <w:pStyle w:val="Body"/>
        <w:rPr>
          <w:lang w:val="en-GB"/>
        </w:rPr>
      </w:pPr>
      <w:r w:rsidRPr="00F32E15">
        <w:rPr>
          <w:lang w:val="en-GB"/>
        </w:rPr>
        <w:t>Additionally, future policy reforms and orientations should be supported by an integrated adult education policy that would have to include aims, regulations and funding of several types of provision</w:t>
      </w:r>
      <w:r w:rsidRPr="00035E3D">
        <w:rPr>
          <w:rStyle w:val="FootnoteReference"/>
        </w:rPr>
        <w:footnoteReference w:id="142"/>
      </w:r>
      <w:r w:rsidRPr="00F32E15">
        <w:rPr>
          <w:lang w:val="en-GB"/>
        </w:rPr>
        <w:t xml:space="preserve">. It would be an adult education policy that would co-ordinate programmes and projects from different domains in order to foster equality of access in non-formal and informal learning. In policy reforms, the maintenance of the existing forms of provision is important in order to avoid the provision intermittence and recurrent changes according to Governments changes. </w:t>
      </w:r>
    </w:p>
    <w:p w14:paraId="14CA4F33" w14:textId="77777777" w:rsidR="00304CB9" w:rsidRPr="00F32E15" w:rsidRDefault="00304CB9" w:rsidP="00304CB9">
      <w:pPr>
        <w:pStyle w:val="Body"/>
        <w:rPr>
          <w:lang w:val="en-GB"/>
        </w:rPr>
      </w:pPr>
      <w:r w:rsidRPr="00F32E15">
        <w:rPr>
          <w:lang w:val="en-GB"/>
        </w:rPr>
        <w:t>The maintenance of the diversification of forms of provision is also important, with special emphasis to the ones that are not formally certified. Literacy will have to be included through specific orientations and programmes, concerning basic skills and advanced reading and writing skills</w:t>
      </w:r>
      <w:r w:rsidRPr="00035E3D">
        <w:rPr>
          <w:rStyle w:val="FootnoteReference"/>
        </w:rPr>
        <w:footnoteReference w:id="143"/>
      </w:r>
      <w:r w:rsidRPr="00F32E15">
        <w:rPr>
          <w:lang w:val="en-GB"/>
        </w:rPr>
        <w:t>. Non-formal/liberal education (approaching different aims, contents, pedagogic methods and assessment strategies) needs to be included too. In-service training, referring to informal learning in the workplace should also be part of this policy reform.</w:t>
      </w:r>
    </w:p>
    <w:p w14:paraId="304D029D" w14:textId="1601C4FD" w:rsidR="00304CB9" w:rsidRPr="00F32E15" w:rsidRDefault="00304CB9" w:rsidP="00304CB9">
      <w:pPr>
        <w:pStyle w:val="Body"/>
        <w:rPr>
          <w:lang w:val="en-GB"/>
        </w:rPr>
      </w:pPr>
      <w:r w:rsidRPr="00F32E15">
        <w:rPr>
          <w:lang w:val="en-GB"/>
        </w:rPr>
        <w:t>The experience and learning of practitioners involved in adult education in the last two decades need to be valued in formal regulations and in the building of professionalisation paths, including the reinforcement of the role of higher education institutions in initial training of adult educators</w:t>
      </w:r>
      <w:r w:rsidRPr="00035E3D">
        <w:rPr>
          <w:rStyle w:val="FootnoteReference"/>
        </w:rPr>
        <w:footnoteReference w:id="144"/>
      </w:r>
      <w:r w:rsidRPr="00F32E15">
        <w:rPr>
          <w:lang w:val="en-GB"/>
        </w:rPr>
        <w:t>. The research developments in the field of adult education in last decades also needs to be supported, in order to comprehend policy developments and impacts. This is an important step to improve the higher quali</w:t>
      </w:r>
      <w:r w:rsidR="00C020D0" w:rsidRPr="00F32E15">
        <w:rPr>
          <w:lang w:val="en-GB"/>
        </w:rPr>
        <w:t xml:space="preserve">ty of education provision. Data </w:t>
      </w:r>
      <w:r w:rsidRPr="00F32E15">
        <w:rPr>
          <w:lang w:val="en-GB"/>
        </w:rPr>
        <w:t xml:space="preserve">on policy implementation (on existing forms of provision, adult learners, labour </w:t>
      </w:r>
      <w:r w:rsidRPr="00F32E15">
        <w:rPr>
          <w:lang w:val="en-GB"/>
        </w:rPr>
        <w:lastRenderedPageBreak/>
        <w:t>market outcomes, stakeholders, adult educators, etc.) has to become available. Studies and research on adult education in general and on adult education policy in particular have to be funded and supported by State agencies in order to assess and evaluate most recent developments.</w:t>
      </w:r>
    </w:p>
    <w:p w14:paraId="156A0586" w14:textId="77777777" w:rsidR="00304CB9" w:rsidRPr="00F32E15" w:rsidRDefault="00304CB9" w:rsidP="00304CB9">
      <w:pPr>
        <w:pStyle w:val="Body"/>
        <w:rPr>
          <w:lang w:val="en-GB"/>
        </w:rPr>
      </w:pPr>
      <w:r w:rsidRPr="00F32E15">
        <w:rPr>
          <w:lang w:val="en-GB"/>
        </w:rPr>
        <w:t>The monitoring and evaluation of institutional actors need to be considered in the implementation of provision. But the purpose of monitoring and evaluation cannot only be to achieve rates of access and the numbers of certificates given to adult learners. It has to include improving the quality of provision (content, pedagogic methods, assessment of adult learners) and staff considering the needs of the learners, the improvement of learner disposition towards learning and equality of access for all. Specifically, low qualified adults, individuals from disadvantaged social groups and traditional non-participants in adult education activities have to be considered.</w:t>
      </w:r>
    </w:p>
    <w:p w14:paraId="20E97830" w14:textId="02329D80" w:rsidR="00304CB9" w:rsidRPr="00F32E15" w:rsidRDefault="00304CB9">
      <w:pPr>
        <w:spacing w:after="0"/>
        <w:jc w:val="left"/>
        <w:rPr>
          <w:rFonts w:ascii="Verdana" w:hAnsi="Verdana"/>
          <w:sz w:val="20"/>
          <w:lang w:val="en-GB"/>
        </w:rPr>
      </w:pPr>
      <w:r w:rsidRPr="00F32E15">
        <w:rPr>
          <w:lang w:val="en-GB"/>
        </w:rPr>
        <w:br w:type="page"/>
      </w:r>
    </w:p>
    <w:p w14:paraId="7AE00BF3" w14:textId="77777777" w:rsidR="00304CB9" w:rsidRPr="00A73150" w:rsidRDefault="00304CB9" w:rsidP="00C020D0">
      <w:pPr>
        <w:pStyle w:val="Heading1"/>
        <w:keepNext w:val="0"/>
        <w:pageBreakBefore/>
        <w:numPr>
          <w:ilvl w:val="0"/>
          <w:numId w:val="24"/>
        </w:numPr>
        <w:tabs>
          <w:tab w:val="clear" w:pos="1134"/>
          <w:tab w:val="left" w:pos="851"/>
        </w:tabs>
        <w:spacing w:before="0" w:after="360" w:line="288" w:lineRule="auto"/>
        <w:ind w:left="851" w:hanging="851"/>
      </w:pPr>
      <w:bookmarkStart w:id="52" w:name="_Toc491862519"/>
      <w:r w:rsidRPr="00A73150">
        <w:lastRenderedPageBreak/>
        <w:t>Summary</w:t>
      </w:r>
      <w:bookmarkEnd w:id="52"/>
    </w:p>
    <w:p w14:paraId="003770C0" w14:textId="77777777" w:rsidR="00304CB9" w:rsidRPr="00F32E15" w:rsidRDefault="00304CB9" w:rsidP="00304CB9">
      <w:pPr>
        <w:pStyle w:val="Body"/>
        <w:rPr>
          <w:lang w:val="en-GB"/>
        </w:rPr>
      </w:pPr>
      <w:r w:rsidRPr="00F32E15">
        <w:rPr>
          <w:lang w:val="en-GB"/>
        </w:rPr>
        <w:t>Adult education policy in Portugal has observed changes since 2016 with the election of the recent Government. However, these changed are recent and it is difficult to identify their impact. For this reason, the summary of this report is rather similar to the summary of the previous report written in 2016.</w:t>
      </w:r>
    </w:p>
    <w:p w14:paraId="69ED38CF" w14:textId="77777777" w:rsidR="00304CB9" w:rsidRPr="00F32E15" w:rsidRDefault="00304CB9" w:rsidP="00304CB9">
      <w:pPr>
        <w:pStyle w:val="Body"/>
        <w:rPr>
          <w:lang w:val="en-GB"/>
        </w:rPr>
      </w:pPr>
      <w:r w:rsidRPr="00F32E15">
        <w:rPr>
          <w:lang w:val="en-GB"/>
        </w:rPr>
        <w:t>This report has examined the (fragile) recovery of the Portuguese economy in the last couple of years, the rates of unemployment, adult participation in learning, and educational attainment that are still low, particularly those who are low qualified. In spite of (adult) education policies in last decades, results achieved seem to be insufficient to reduce the distance between Portugal and other European Union countries (such as Nordic and Central European ones) in what refers to access, participation and achievement of adults in education and training.</w:t>
      </w:r>
    </w:p>
    <w:p w14:paraId="4CA94CD8" w14:textId="77777777" w:rsidR="00304CB9" w:rsidRPr="00F32E15" w:rsidRDefault="00304CB9" w:rsidP="00304CB9">
      <w:pPr>
        <w:pStyle w:val="Body"/>
        <w:rPr>
          <w:lang w:val="en-GB"/>
        </w:rPr>
      </w:pPr>
      <w:r w:rsidRPr="00F32E15">
        <w:rPr>
          <w:lang w:val="en-GB"/>
        </w:rPr>
        <w:t>The stress upon economic development in adult education policy, even if including a reference to low qualified adults, reflects the ambivalence of the role assigned to adult education. It has gone from a central pillar in some policy discourses, something that could improve economic development, to a minor position in the political, social, educational, cultural and civic agenda. Additionally, the existing policy does not cover all or a large majority of types of provision in adult education. Only the certification and professional qualification issues and rates have been expressively stressed in policy discourses and programmes, which is a very short concern when education is at stake.</w:t>
      </w:r>
    </w:p>
    <w:p w14:paraId="15F5D50F" w14:textId="77777777" w:rsidR="00304CB9" w:rsidRPr="00F32E15" w:rsidRDefault="00304CB9" w:rsidP="00304CB9">
      <w:pPr>
        <w:pStyle w:val="Body"/>
        <w:rPr>
          <w:lang w:val="en-GB"/>
        </w:rPr>
      </w:pPr>
      <w:r w:rsidRPr="00F32E15">
        <w:rPr>
          <w:lang w:val="en-GB"/>
        </w:rPr>
        <w:t>Challenges in adult education policy are strongly linked to:</w:t>
      </w:r>
    </w:p>
    <w:p w14:paraId="12FB6B15" w14:textId="77777777" w:rsidR="00304CB9" w:rsidRPr="00F32E15" w:rsidRDefault="00304CB9" w:rsidP="00304CB9">
      <w:pPr>
        <w:pStyle w:val="Body"/>
        <w:numPr>
          <w:ilvl w:val="0"/>
          <w:numId w:val="45"/>
        </w:numPr>
        <w:rPr>
          <w:lang w:val="en-GB"/>
        </w:rPr>
      </w:pPr>
      <w:r w:rsidRPr="00F32E15">
        <w:rPr>
          <w:lang w:val="en-GB"/>
        </w:rPr>
        <w:t>The need to consider a diversification of provision and to use the experience and knowledge acquired in the different types of provision of adult education (namely non-formal and informal education);</w:t>
      </w:r>
    </w:p>
    <w:p w14:paraId="5247B4CF" w14:textId="77777777" w:rsidR="00304CB9" w:rsidRPr="00F32E15" w:rsidRDefault="00304CB9" w:rsidP="00304CB9">
      <w:pPr>
        <w:pStyle w:val="Body"/>
        <w:numPr>
          <w:ilvl w:val="0"/>
          <w:numId w:val="45"/>
        </w:numPr>
        <w:rPr>
          <w:lang w:val="en-GB"/>
        </w:rPr>
      </w:pPr>
      <w:r w:rsidRPr="00F32E15">
        <w:rPr>
          <w:lang w:val="en-GB"/>
        </w:rPr>
        <w:t>Keep on fostering equality of access for all, maintaining the existing provision, such as recognition of prior learning and adult education and training courses, and promoting other provision that meets learner needs;</w:t>
      </w:r>
    </w:p>
    <w:p w14:paraId="23F03B2C" w14:textId="77777777" w:rsidR="00304CB9" w:rsidRPr="00F32E15" w:rsidRDefault="00304CB9" w:rsidP="00304CB9">
      <w:pPr>
        <w:pStyle w:val="Body"/>
        <w:numPr>
          <w:ilvl w:val="0"/>
          <w:numId w:val="45"/>
        </w:numPr>
        <w:rPr>
          <w:lang w:val="en-GB"/>
        </w:rPr>
      </w:pPr>
      <w:r w:rsidRPr="00F32E15">
        <w:rPr>
          <w:lang w:val="en-GB"/>
        </w:rPr>
        <w:t>Overcome the pattern of the discontinuous policies, by reinforcing the importance of adult education in the Portuguese society (in educational, social, cultural, political, economic and civic terms) and assuring a new public funding model than the one existing highly dependent on the European Union programmes;</w:t>
      </w:r>
    </w:p>
    <w:p w14:paraId="521AD5E2" w14:textId="77777777" w:rsidR="00304CB9" w:rsidRPr="00F32E15" w:rsidRDefault="00304CB9" w:rsidP="00304CB9">
      <w:pPr>
        <w:pStyle w:val="Body"/>
        <w:numPr>
          <w:ilvl w:val="0"/>
          <w:numId w:val="45"/>
        </w:numPr>
        <w:rPr>
          <w:lang w:val="en-GB"/>
        </w:rPr>
      </w:pPr>
      <w:r w:rsidRPr="00F32E15">
        <w:rPr>
          <w:lang w:val="en-GB"/>
        </w:rPr>
        <w:t>Build a global and integrated policy, improving co-ordination of existing policy and including programmes and projects that promote formal, non-formal and informal education;</w:t>
      </w:r>
    </w:p>
    <w:p w14:paraId="6A8C2334" w14:textId="77777777" w:rsidR="00304CB9" w:rsidRPr="00F32E15" w:rsidRDefault="00304CB9" w:rsidP="00304CB9">
      <w:pPr>
        <w:pStyle w:val="Body"/>
        <w:numPr>
          <w:ilvl w:val="0"/>
          <w:numId w:val="45"/>
        </w:numPr>
        <w:rPr>
          <w:lang w:val="en-GB"/>
        </w:rPr>
      </w:pPr>
      <w:r w:rsidRPr="00F32E15">
        <w:rPr>
          <w:lang w:val="en-GB"/>
        </w:rPr>
        <w:t>Reinforce the quality of adult education, through fostering research and professionalisation paths of adult educators (based on academic specific knowledge and also on valuing knowledge obtained from experience) and improving procedures and schemes that are devoted at meeting needs of the learners;</w:t>
      </w:r>
    </w:p>
    <w:p w14:paraId="1D2F7582" w14:textId="77777777" w:rsidR="00304CB9" w:rsidRPr="00F32E15" w:rsidRDefault="00304CB9" w:rsidP="00304CB9">
      <w:pPr>
        <w:pStyle w:val="Body"/>
        <w:numPr>
          <w:ilvl w:val="0"/>
          <w:numId w:val="45"/>
        </w:numPr>
        <w:rPr>
          <w:lang w:val="en-GB"/>
        </w:rPr>
      </w:pPr>
      <w:r w:rsidRPr="00F32E15">
        <w:rPr>
          <w:lang w:val="en-GB"/>
        </w:rPr>
        <w:t>Develop studies and research on adult education (policies and existing practices) based on quantitative and qualitative data, to improve knowledge and foster more coherent policy-decision process.</w:t>
      </w:r>
    </w:p>
    <w:p w14:paraId="40BBBA1E" w14:textId="77777777" w:rsidR="00304CB9" w:rsidRPr="00F32E15" w:rsidRDefault="00304CB9" w:rsidP="00304CB9">
      <w:pPr>
        <w:pStyle w:val="Body"/>
        <w:rPr>
          <w:lang w:val="en-GB"/>
        </w:rPr>
      </w:pPr>
      <w:r w:rsidRPr="00F32E15">
        <w:rPr>
          <w:lang w:val="en-GB"/>
        </w:rPr>
        <w:lastRenderedPageBreak/>
        <w:t>After considering adult learners, their needs, motivation, problems and challenges when attending adult education provision, it will be possible to think of employer needs and to devise ways of increasing the investment in education, not only from the State or the European Union, but also from different providers, such as civil society and non-governmental organisations.</w:t>
      </w:r>
    </w:p>
    <w:p w14:paraId="6AD0FB02" w14:textId="6C9139C8" w:rsidR="00304CB9" w:rsidRPr="00F32E15" w:rsidRDefault="00304CB9">
      <w:pPr>
        <w:spacing w:after="0"/>
        <w:jc w:val="left"/>
        <w:rPr>
          <w:rFonts w:ascii="Verdana" w:hAnsi="Verdana"/>
          <w:sz w:val="20"/>
          <w:lang w:val="en-GB"/>
        </w:rPr>
      </w:pPr>
      <w:r w:rsidRPr="00F32E15">
        <w:rPr>
          <w:lang w:val="en-GB"/>
        </w:rPr>
        <w:br w:type="page"/>
      </w:r>
    </w:p>
    <w:p w14:paraId="5DE9CE03" w14:textId="77777777" w:rsidR="00304CB9" w:rsidRPr="001D1691" w:rsidRDefault="00304CB9" w:rsidP="00C020D0">
      <w:pPr>
        <w:pStyle w:val="Heading1"/>
        <w:keepNext w:val="0"/>
        <w:pageBreakBefore/>
        <w:numPr>
          <w:ilvl w:val="0"/>
          <w:numId w:val="24"/>
        </w:numPr>
        <w:tabs>
          <w:tab w:val="clear" w:pos="1134"/>
          <w:tab w:val="left" w:pos="851"/>
        </w:tabs>
        <w:spacing w:before="0" w:after="360" w:line="288" w:lineRule="auto"/>
        <w:ind w:left="851" w:hanging="851"/>
      </w:pPr>
      <w:bookmarkStart w:id="53" w:name="_Toc491862520"/>
      <w:r w:rsidRPr="001D1691">
        <w:lastRenderedPageBreak/>
        <w:t>Bibliography</w:t>
      </w:r>
      <w:bookmarkEnd w:id="53"/>
    </w:p>
    <w:p w14:paraId="6D912420" w14:textId="77777777" w:rsidR="00304CB9" w:rsidRPr="00F32E15" w:rsidRDefault="00304CB9" w:rsidP="00304CB9">
      <w:pPr>
        <w:pStyle w:val="Body"/>
        <w:rPr>
          <w:lang w:val="en-GB"/>
        </w:rPr>
      </w:pPr>
      <w:r w:rsidRPr="001D1691">
        <w:t xml:space="preserve">Agência Nacional para a Qualificação (2011). Linhas Orientadoras para o Futuro da Iniciativa Novas Oportunidades. 30 de Novembro de 2010 (Main guidelines for the future of the new opportunities programme. </w:t>
      </w:r>
      <w:r w:rsidRPr="00F32E15">
        <w:rPr>
          <w:lang w:val="en-GB"/>
        </w:rPr>
        <w:t>November 30th 2010). Lisboa: Agência Nacional para a Qualificação.</w:t>
      </w:r>
    </w:p>
    <w:p w14:paraId="7423D410" w14:textId="77777777" w:rsidR="00304CB9" w:rsidRPr="00F32E15" w:rsidRDefault="00304CB9" w:rsidP="00304CB9">
      <w:pPr>
        <w:pStyle w:val="Body"/>
        <w:rPr>
          <w:lang w:val="en-GB"/>
        </w:rPr>
      </w:pPr>
      <w:r w:rsidRPr="00F32E15">
        <w:rPr>
          <w:lang w:val="en-GB"/>
        </w:rPr>
        <w:t xml:space="preserve">Alves et al. (2016). Educação de adultos: aprender sempre (Adult education: to learn lways). In Silva et al. (coord.), Pensar </w:t>
      </w:r>
      <w:proofErr w:type="gramStart"/>
      <w:r w:rsidRPr="00F32E15">
        <w:rPr>
          <w:lang w:val="en-GB"/>
        </w:rPr>
        <w:t>a</w:t>
      </w:r>
      <w:proofErr w:type="gramEnd"/>
      <w:r w:rsidRPr="00F32E15">
        <w:rPr>
          <w:lang w:val="en-GB"/>
        </w:rPr>
        <w:t xml:space="preserve"> Educação (To think about education). Temas Sectoriais. Lisboa: EDUCA, pp. 151-180.</w:t>
      </w:r>
    </w:p>
    <w:p w14:paraId="1D8B4E25" w14:textId="77777777" w:rsidR="00304CB9" w:rsidRPr="00F32E15" w:rsidRDefault="00304CB9" w:rsidP="00304CB9">
      <w:pPr>
        <w:pStyle w:val="Body"/>
        <w:rPr>
          <w:lang w:val="en-GB"/>
        </w:rPr>
      </w:pPr>
      <w:r w:rsidRPr="00F32E15">
        <w:rPr>
          <w:lang w:val="en-GB"/>
        </w:rPr>
        <w:t>Amorim, J. P. (2013). Da “Abertura” das Instituições de Ensino Superior a “Novos Públicos”: O caso Português (On the opening of higher education institutions to new publics: the Portuguese case) (PhD Thesis). Porto: Universidade Católica Portuguesa.</w:t>
      </w:r>
    </w:p>
    <w:p w14:paraId="04419D50" w14:textId="77777777" w:rsidR="00304CB9" w:rsidRPr="00F32E15" w:rsidRDefault="00304CB9" w:rsidP="00304CB9">
      <w:pPr>
        <w:pStyle w:val="Body"/>
        <w:rPr>
          <w:lang w:val="en-GB"/>
        </w:rPr>
      </w:pPr>
      <w:r w:rsidRPr="00F32E15">
        <w:rPr>
          <w:lang w:val="en-GB"/>
        </w:rPr>
        <w:t>Antunes, F. (2016). Economising education: from the silent revolution to rethinking education. A new moment of Europeanisation of education? European Educational and Research Journal, vol. 15, no. 4, pp. 410-427.</w:t>
      </w:r>
    </w:p>
    <w:p w14:paraId="643CBE8E" w14:textId="77777777" w:rsidR="00304CB9" w:rsidRPr="00F32E15" w:rsidRDefault="00304CB9" w:rsidP="00304CB9">
      <w:pPr>
        <w:pStyle w:val="Body"/>
        <w:rPr>
          <w:lang w:val="en-GB"/>
        </w:rPr>
      </w:pPr>
      <w:r w:rsidRPr="00F32E15">
        <w:rPr>
          <w:lang w:val="en-GB"/>
        </w:rPr>
        <w:t>Antunes, F. &amp; Guimarães, P. (2015). An inconsistent policy: lifelong learning and adult education policy towards competitive advantage. In G. Zarifis and M. Gravani (eds.), Challenging the ‘European Area of Lifelong Learning’. A Critical Response. Dordrecht: Springer, pp. 75-86.</w:t>
      </w:r>
    </w:p>
    <w:p w14:paraId="09674C25" w14:textId="77777777" w:rsidR="00304CB9" w:rsidRPr="00F32E15" w:rsidRDefault="00304CB9" w:rsidP="00304CB9">
      <w:pPr>
        <w:pStyle w:val="Body"/>
        <w:rPr>
          <w:lang w:val="en-GB"/>
        </w:rPr>
      </w:pPr>
      <w:r w:rsidRPr="00F32E15">
        <w:rPr>
          <w:lang w:val="en-GB"/>
        </w:rPr>
        <w:t xml:space="preserve">Ávila, P. (2008). A Literacia dos Adultos. Competências-Chave </w:t>
      </w:r>
      <w:proofErr w:type="gramStart"/>
      <w:r w:rsidRPr="00F32E15">
        <w:rPr>
          <w:lang w:val="en-GB"/>
        </w:rPr>
        <w:t>na</w:t>
      </w:r>
      <w:proofErr w:type="gramEnd"/>
      <w:r w:rsidRPr="00F32E15">
        <w:rPr>
          <w:lang w:val="en-GB"/>
        </w:rPr>
        <w:t xml:space="preserve"> Sociedade do Conhecimento (Adults literacy. Key-competences in the knowledge society). Lisboa: CIES-ISCTE/Celta Editora.</w:t>
      </w:r>
    </w:p>
    <w:p w14:paraId="5AE0D2E6" w14:textId="77777777" w:rsidR="00304CB9" w:rsidRPr="00F32E15" w:rsidRDefault="00304CB9" w:rsidP="00304CB9">
      <w:pPr>
        <w:pStyle w:val="Body"/>
        <w:rPr>
          <w:lang w:val="en-GB"/>
        </w:rPr>
      </w:pPr>
      <w:r w:rsidRPr="001D1691">
        <w:t xml:space="preserve">Barros, R. (2016). Da conceção à implosão da nova política de educação e formação de adultos (EFA) em Portugal: e agora tudo o vento levou? </w:t>
      </w:r>
      <w:r w:rsidRPr="00F32E15">
        <w:rPr>
          <w:lang w:val="en-GB"/>
        </w:rPr>
        <w:t>(From the conception to the suspension of the new adult education and trianing policy in Portugal: and now all gone with the wind?). Laplage em Revista, vol. 2, n</w:t>
      </w:r>
      <w:proofErr w:type="gramStart"/>
      <w:r w:rsidRPr="00F32E15">
        <w:rPr>
          <w:lang w:val="en-GB"/>
        </w:rPr>
        <w:t>.º</w:t>
      </w:r>
      <w:proofErr w:type="gramEnd"/>
      <w:r w:rsidRPr="00F32E15">
        <w:rPr>
          <w:lang w:val="en-GB"/>
        </w:rPr>
        <w:t xml:space="preserve"> 1, pp. 63-86.</w:t>
      </w:r>
    </w:p>
    <w:p w14:paraId="7E07A8E1" w14:textId="77777777" w:rsidR="00304CB9" w:rsidRPr="00F32E15" w:rsidRDefault="00304CB9" w:rsidP="00304CB9">
      <w:pPr>
        <w:pStyle w:val="Body"/>
        <w:rPr>
          <w:lang w:val="en-GB"/>
        </w:rPr>
      </w:pPr>
      <w:r w:rsidRPr="00F32E15">
        <w:rPr>
          <w:lang w:val="en-GB"/>
        </w:rPr>
        <w:t>Canário, R. (2013). Educação de Adultos. Um Campo, uma Problemática (Adult education. A field, a Thematic). Lisboa: EDUCA.</w:t>
      </w:r>
    </w:p>
    <w:p w14:paraId="06E6AC17" w14:textId="77777777" w:rsidR="00304CB9" w:rsidRPr="00F32E15" w:rsidRDefault="00304CB9" w:rsidP="00304CB9">
      <w:pPr>
        <w:pStyle w:val="Body"/>
        <w:rPr>
          <w:lang w:val="en-GB"/>
        </w:rPr>
      </w:pPr>
      <w:r w:rsidRPr="00F32E15">
        <w:rPr>
          <w:lang w:val="en-GB"/>
        </w:rPr>
        <w:t>Carneiro, R. (dir.) (2011). Accreditation of Prior Learning as a Lever for Lifelong Learning: Lessons Learnt from the New Opportunities Initiative, Portugal. Braga: UNESCO/MENON/CEPCEP.</w:t>
      </w:r>
    </w:p>
    <w:p w14:paraId="5A6494A4" w14:textId="77777777" w:rsidR="00304CB9" w:rsidRPr="00F32E15" w:rsidRDefault="00304CB9" w:rsidP="00304CB9">
      <w:pPr>
        <w:pStyle w:val="Body"/>
        <w:rPr>
          <w:lang w:val="en-GB"/>
        </w:rPr>
      </w:pPr>
      <w:r w:rsidRPr="00F32E15">
        <w:rPr>
          <w:lang w:val="en-GB"/>
        </w:rPr>
        <w:t xml:space="preserve">Cavaco, C (2009) Adultos Pouco Escolarizados – Políticas e Práticas de Formação (Adults with low school levels – Policies and practices). Lisboa: EDUCA - UI&amp;DCE, </w:t>
      </w:r>
    </w:p>
    <w:p w14:paraId="5FA750CF" w14:textId="77777777" w:rsidR="00304CB9" w:rsidRPr="00F32E15" w:rsidRDefault="00304CB9" w:rsidP="00304CB9">
      <w:pPr>
        <w:pStyle w:val="Body"/>
        <w:rPr>
          <w:lang w:val="en-GB"/>
        </w:rPr>
      </w:pPr>
      <w:r w:rsidRPr="00F32E15">
        <w:rPr>
          <w:lang w:val="en-GB"/>
        </w:rPr>
        <w:t xml:space="preserve">Cavaco, C. (2016). Políticas públicas de educação de adultos em Portugal – </w:t>
      </w:r>
      <w:proofErr w:type="gramStart"/>
      <w:r w:rsidRPr="00F32E15">
        <w:rPr>
          <w:lang w:val="en-GB"/>
        </w:rPr>
        <w:t>a</w:t>
      </w:r>
      <w:proofErr w:type="gramEnd"/>
      <w:r w:rsidRPr="00F32E15">
        <w:rPr>
          <w:lang w:val="en-GB"/>
        </w:rPr>
        <w:t xml:space="preserve"> invisibilidade do analfabetismo (Public policies of adult education in Portugal – the invisibility of illiteracy). Laplage em Revista, vol. 2, n</w:t>
      </w:r>
      <w:proofErr w:type="gramStart"/>
      <w:r w:rsidRPr="00F32E15">
        <w:rPr>
          <w:lang w:val="en-GB"/>
        </w:rPr>
        <w:t>.º</w:t>
      </w:r>
      <w:proofErr w:type="gramEnd"/>
      <w:r w:rsidRPr="00F32E15">
        <w:rPr>
          <w:lang w:val="en-GB"/>
        </w:rPr>
        <w:t xml:space="preserve"> 1, pp. 51-62.</w:t>
      </w:r>
    </w:p>
    <w:p w14:paraId="30D4115B" w14:textId="77777777" w:rsidR="00304CB9" w:rsidRPr="00F32E15" w:rsidRDefault="00304CB9" w:rsidP="00304CB9">
      <w:pPr>
        <w:pStyle w:val="Body"/>
        <w:rPr>
          <w:lang w:val="en-GB"/>
        </w:rPr>
      </w:pPr>
      <w:r w:rsidRPr="00F32E15">
        <w:rPr>
          <w:lang w:val="en-GB"/>
        </w:rPr>
        <w:lastRenderedPageBreak/>
        <w:t>Conselho Nacional de Educação (2015). O Estado da Educação 2014 (The state-of-the-art of education 2014). Lisboa: Conselho Nacional de Educação.</w:t>
      </w:r>
    </w:p>
    <w:p w14:paraId="52AAA913" w14:textId="77777777" w:rsidR="00304CB9" w:rsidRPr="00F32E15" w:rsidRDefault="00304CB9" w:rsidP="00304CB9">
      <w:pPr>
        <w:pStyle w:val="Body"/>
        <w:rPr>
          <w:lang w:val="en-GB"/>
        </w:rPr>
      </w:pPr>
      <w:r w:rsidRPr="00F32E15">
        <w:rPr>
          <w:lang w:val="en-GB"/>
        </w:rPr>
        <w:t>Conselho Nacional de Educação (2016). O Estado da Educação 2015 (2014 (The state-of-the-art of education 2014). Lisboa: Conselho Nacional de Educação.</w:t>
      </w:r>
    </w:p>
    <w:p w14:paraId="78250FA5" w14:textId="77777777" w:rsidR="00304CB9" w:rsidRPr="00F32E15" w:rsidRDefault="00304CB9" w:rsidP="00304CB9">
      <w:pPr>
        <w:pStyle w:val="Body"/>
        <w:rPr>
          <w:lang w:val="en-GB"/>
        </w:rPr>
      </w:pPr>
      <w:r w:rsidRPr="00F32E15">
        <w:rPr>
          <w:lang w:val="en-GB"/>
        </w:rPr>
        <w:t>Desjardin, R. Rubenson, K. &amp; Millana, M. (2006). Unequal Chances to Participate in Adult Learning: International Perspectives. Paris: UNESCO-IIEP.</w:t>
      </w:r>
    </w:p>
    <w:p w14:paraId="40D633AA" w14:textId="77777777" w:rsidR="00304CB9" w:rsidRPr="00F32E15" w:rsidRDefault="00304CB9" w:rsidP="00304CB9">
      <w:pPr>
        <w:pStyle w:val="Body"/>
        <w:rPr>
          <w:lang w:val="en-GB"/>
        </w:rPr>
      </w:pPr>
      <w:r w:rsidRPr="00F32E15">
        <w:rPr>
          <w:lang w:val="en-GB"/>
        </w:rPr>
        <w:t>European Commission, Cedefop &amp; ICF International (2014). European Inventory of Validation of Non-Formal and Informal Learning 2014. Portugal.  Retrieved April 19, 2017, from www.cedefop.europa.eu/validation/inventory.</w:t>
      </w:r>
    </w:p>
    <w:p w14:paraId="7488CB02" w14:textId="77777777" w:rsidR="00304CB9" w:rsidRPr="00F32E15" w:rsidRDefault="00304CB9" w:rsidP="00304CB9">
      <w:pPr>
        <w:pStyle w:val="Body"/>
        <w:rPr>
          <w:lang w:val="en-GB"/>
        </w:rPr>
      </w:pPr>
      <w:r w:rsidRPr="001D1691">
        <w:t xml:space="preserve">Guimarães, P. &amp; Barros, R. (2015). A nova política pública de educação e formação de adultos em Portugal. </w:t>
      </w:r>
      <w:r w:rsidRPr="00F32E15">
        <w:rPr>
          <w:lang w:val="en-GB"/>
        </w:rPr>
        <w:t>Os educadores de adultos numa encruzilhada? (The new public adult education and training policy in Portugal. Adult educators at a crossraod?). Educação &amp; Sociedade, v. 36, n</w:t>
      </w:r>
      <w:proofErr w:type="gramStart"/>
      <w:r w:rsidRPr="00F32E15">
        <w:rPr>
          <w:lang w:val="en-GB"/>
        </w:rPr>
        <w:t>.º</w:t>
      </w:r>
      <w:proofErr w:type="gramEnd"/>
      <w:r w:rsidRPr="00F32E15">
        <w:rPr>
          <w:lang w:val="en-GB"/>
        </w:rPr>
        <w:t xml:space="preserve"> 131, pp. 391-406.</w:t>
      </w:r>
    </w:p>
    <w:p w14:paraId="3EE10C27" w14:textId="77777777" w:rsidR="00304CB9" w:rsidRPr="00F32E15" w:rsidRDefault="00304CB9" w:rsidP="00304CB9">
      <w:pPr>
        <w:pStyle w:val="Body"/>
        <w:rPr>
          <w:lang w:val="en-GB"/>
        </w:rPr>
      </w:pPr>
      <w:r w:rsidRPr="00F32E15">
        <w:rPr>
          <w:lang w:val="en-GB"/>
        </w:rPr>
        <w:t>Instituto Nacional de Estatística (2011). Aprendizagem ao Longo da Vida. Inquérito à Educação e Formação de Adultos 2007 (Lifelong learning. Survey to adult education and training 2007). Lisboa: Instituto Nacional de Estatística.</w:t>
      </w:r>
    </w:p>
    <w:p w14:paraId="5A9C1AE5" w14:textId="77777777" w:rsidR="00304CB9" w:rsidRPr="00F32E15" w:rsidRDefault="00304CB9" w:rsidP="00304CB9">
      <w:pPr>
        <w:pStyle w:val="Body"/>
        <w:rPr>
          <w:lang w:val="en-GB"/>
        </w:rPr>
      </w:pPr>
      <w:r w:rsidRPr="00F32E15">
        <w:rPr>
          <w:lang w:val="en-GB"/>
        </w:rPr>
        <w:t>Instituto Nacional de Estatística (2013). Aprendizagem ao Longo da Vida. Inquérito à Educação e Formação de Adultos 2011 (Lifelong learning. Survey to adult education and training 2011). Lisboa: Instituto Nacional de Estatística.</w:t>
      </w:r>
    </w:p>
    <w:p w14:paraId="31C09E28" w14:textId="77777777" w:rsidR="00304CB9" w:rsidRPr="00F32E15" w:rsidRDefault="00304CB9" w:rsidP="00304CB9">
      <w:pPr>
        <w:pStyle w:val="Body"/>
        <w:rPr>
          <w:lang w:val="en-GB"/>
        </w:rPr>
      </w:pPr>
      <w:r w:rsidRPr="00F32E15">
        <w:rPr>
          <w:lang w:val="en-GB"/>
        </w:rPr>
        <w:t>Lima, F. (coord.)(2012). Avaliação dos Cursos de Educação e Formação de Adultos e Formações Modulares Certificadas: Empregabilidade e Remunerações (Evaluation of adult education and training courses and modular training: employability and salaries). Lisboa: IST/CEG.</w:t>
      </w:r>
    </w:p>
    <w:p w14:paraId="45802BA3" w14:textId="77777777" w:rsidR="00304CB9" w:rsidRPr="00F32E15" w:rsidRDefault="00304CB9" w:rsidP="00304CB9">
      <w:pPr>
        <w:pStyle w:val="Body"/>
        <w:rPr>
          <w:lang w:val="en-GB"/>
        </w:rPr>
      </w:pPr>
      <w:r w:rsidRPr="00F32E15">
        <w:rPr>
          <w:lang w:val="en-GB"/>
        </w:rPr>
        <w:t>Lima, F. (coord.)(2012). Os Processos de Reconhecimento, Validação e Certificação de Competências e o Desempenho no Mercado de Trabalho (Recognition of prior learning processes and labour market performance). Lisboa: IST/CEG.</w:t>
      </w:r>
    </w:p>
    <w:p w14:paraId="6116F483" w14:textId="77777777" w:rsidR="00304CB9" w:rsidRPr="00F32E15" w:rsidRDefault="00304CB9" w:rsidP="00304CB9">
      <w:pPr>
        <w:pStyle w:val="Body"/>
        <w:rPr>
          <w:lang w:val="en-GB"/>
        </w:rPr>
      </w:pPr>
      <w:r w:rsidRPr="00F32E15">
        <w:rPr>
          <w:lang w:val="en-GB"/>
        </w:rPr>
        <w:t>Lima, L. C. &amp; Guimarães, P. (2015). Portugal: policy and adult education. In T. Corner (ed.), Education in the European Union Pre-2003-Member States. London: Bloomsbury, pp. 245-263.</w:t>
      </w:r>
    </w:p>
    <w:p w14:paraId="48AF3FCC" w14:textId="77777777" w:rsidR="00304CB9" w:rsidRPr="00F32E15" w:rsidRDefault="00304CB9" w:rsidP="00304CB9">
      <w:pPr>
        <w:pStyle w:val="Body"/>
        <w:rPr>
          <w:lang w:val="en-GB"/>
        </w:rPr>
      </w:pPr>
      <w:r w:rsidRPr="00F32E15">
        <w:rPr>
          <w:lang w:val="en-GB"/>
        </w:rPr>
        <w:t>Lima, L. C. et al. (1988). Documentos Preparatórios III. Comissão de Reforma do Sistema Educativo (Preparatory documents III. Commission for the reform of the education system). Lisboa: Ministério da Educação.</w:t>
      </w:r>
    </w:p>
    <w:p w14:paraId="062F58C5" w14:textId="77777777" w:rsidR="00304CB9" w:rsidRPr="00F32E15" w:rsidRDefault="00304CB9" w:rsidP="00304CB9">
      <w:pPr>
        <w:pStyle w:val="Body"/>
        <w:rPr>
          <w:lang w:val="en-GB"/>
        </w:rPr>
      </w:pPr>
      <w:r w:rsidRPr="00F32E15">
        <w:rPr>
          <w:lang w:val="en-GB"/>
        </w:rPr>
        <w:t xml:space="preserve">Lima, L. C. (2008). </w:t>
      </w:r>
      <w:proofErr w:type="gramStart"/>
      <w:r w:rsidRPr="00F32E15">
        <w:rPr>
          <w:lang w:val="en-GB"/>
        </w:rPr>
        <w:t>A</w:t>
      </w:r>
      <w:proofErr w:type="gramEnd"/>
      <w:r w:rsidRPr="00F32E15">
        <w:rPr>
          <w:lang w:val="en-GB"/>
        </w:rPr>
        <w:t xml:space="preserve"> Educação de Adultos em Portugal (1974-2004) (Adult education in Portugal 1974-2004). In R. Canário and B. Cabrito (orgs.), Educação e Formação de Adultos. Mutações e Convergências (Adult education and training. Mutations and convergences). Lisboa: Educa, pp. 31-60.</w:t>
      </w:r>
    </w:p>
    <w:p w14:paraId="616D2101" w14:textId="77777777" w:rsidR="00304CB9" w:rsidRPr="00F32E15" w:rsidRDefault="00304CB9" w:rsidP="00304CB9">
      <w:pPr>
        <w:pStyle w:val="Body"/>
        <w:rPr>
          <w:lang w:val="en-GB"/>
        </w:rPr>
      </w:pPr>
      <w:r w:rsidRPr="00F32E15">
        <w:rPr>
          <w:lang w:val="en-GB"/>
        </w:rPr>
        <w:lastRenderedPageBreak/>
        <w:t>Loureiro, A. &amp; Caria, T. (2013). To learn and to construct knowledge in the context of the work with adult education and training: a Portuguese case study”, International Journal of Lifelong Education, Vol. 32, nº 2, pp. 149-164.</w:t>
      </w:r>
    </w:p>
    <w:p w14:paraId="32982058" w14:textId="77777777" w:rsidR="00304CB9" w:rsidRPr="00F32E15" w:rsidRDefault="00304CB9" w:rsidP="00304CB9">
      <w:pPr>
        <w:pStyle w:val="Body"/>
        <w:rPr>
          <w:lang w:val="en-GB"/>
        </w:rPr>
      </w:pPr>
      <w:r w:rsidRPr="001D1691">
        <w:t xml:space="preserve">Loureiro, A.; Cristóvão, A. &amp; Caria, T. (2013). </w:t>
      </w:r>
      <w:r w:rsidRPr="00F32E15">
        <w:rPr>
          <w:lang w:val="en-GB"/>
        </w:rPr>
        <w:t>Between external prescription and local practice: the uses of official knowledge by adult education professionals in Portugal, European Journal for Research on the Education and Learning of Adults (RELA), vol 4, n.º 1 , pp. 65-80.</w:t>
      </w:r>
    </w:p>
    <w:p w14:paraId="111DA8E9" w14:textId="77777777" w:rsidR="00304CB9" w:rsidRPr="00F32E15" w:rsidRDefault="00304CB9" w:rsidP="00304CB9">
      <w:pPr>
        <w:pStyle w:val="Body"/>
        <w:rPr>
          <w:lang w:val="en-GB"/>
        </w:rPr>
      </w:pPr>
      <w:r w:rsidRPr="001D1691">
        <w:t>Mateus, A. (coord</w:t>
      </w:r>
      <w:proofErr w:type="gramStart"/>
      <w:r w:rsidRPr="001D1691">
        <w:t>.)(</w:t>
      </w:r>
      <w:proofErr w:type="gramEnd"/>
      <w:r w:rsidRPr="001D1691">
        <w:t xml:space="preserve">2015). Três Décadas de Portugal Europeu. </w:t>
      </w:r>
      <w:r w:rsidRPr="00F32E15">
        <w:rPr>
          <w:lang w:val="en-GB"/>
        </w:rPr>
        <w:t>Balanço e Perspectivas (Three decades of European Portugal. Overview and perspectives of development). Lisboa: Fundação Francisco Manuel dos Santos.</w:t>
      </w:r>
    </w:p>
    <w:p w14:paraId="39E5BD6C" w14:textId="77777777" w:rsidR="00304CB9" w:rsidRPr="00F32E15" w:rsidRDefault="00304CB9" w:rsidP="00304CB9">
      <w:pPr>
        <w:pStyle w:val="Body"/>
        <w:rPr>
          <w:lang w:val="en-GB"/>
        </w:rPr>
      </w:pPr>
      <w:r w:rsidRPr="00F32E15">
        <w:rPr>
          <w:lang w:val="en-GB"/>
        </w:rPr>
        <w:t>Melo, A. (coord.), Matos, L. &amp; Silva, O. S. (2001). S@ber+. Programa para o Desenvolvimento e Expansão da Educação de Adultos (1999-2006) (To Kow+. Programme for the development and expansion of adult education – 1999/2006). Lisboa: Agência Nacional de Educação e Formação de Adultos.</w:t>
      </w:r>
    </w:p>
    <w:p w14:paraId="3DA0BCB7" w14:textId="77777777" w:rsidR="00304CB9" w:rsidRPr="00F32E15" w:rsidRDefault="00304CB9" w:rsidP="00304CB9">
      <w:pPr>
        <w:pStyle w:val="Body"/>
        <w:rPr>
          <w:lang w:val="en-GB"/>
        </w:rPr>
      </w:pPr>
      <w:r w:rsidRPr="00F32E15">
        <w:rPr>
          <w:lang w:val="en-GB"/>
        </w:rPr>
        <w:t>Ministério do Trabalho, Solidariedade e Segurança/Gabinete de Estratégia e Planeamento (2017). Relatório Anual de Formação Contínua 2015 (Annual report of vocational education and training 2015). Lisboa: Ministério do Trabalho, Solidariedade e Segurança/Gabinete de Estratégia e Planeamento</w:t>
      </w:r>
    </w:p>
    <w:p w14:paraId="5A748235" w14:textId="77777777" w:rsidR="00304CB9" w:rsidRPr="00F32E15" w:rsidRDefault="00304CB9" w:rsidP="00304CB9">
      <w:pPr>
        <w:pStyle w:val="Body"/>
        <w:rPr>
          <w:lang w:val="en-GB"/>
        </w:rPr>
      </w:pPr>
      <w:r w:rsidRPr="00F32E15">
        <w:rPr>
          <w:lang w:val="en-GB"/>
        </w:rPr>
        <w:t>Ministério da Economia e do Emprego/Gabinete de Estratégia e Estudos (2013). Inquérito ao Impacto das Ações de Formação Profissional nas Empresas (Survey to the impact of vocational education and training courses in enterprises). Lisboa: Ministério da Economia e do Emprego/Gabinete de Estratégia e Estudos.</w:t>
      </w:r>
    </w:p>
    <w:p w14:paraId="42B42144" w14:textId="77777777" w:rsidR="00304CB9" w:rsidRPr="00F32E15" w:rsidRDefault="00304CB9" w:rsidP="00304CB9">
      <w:pPr>
        <w:pStyle w:val="Body"/>
        <w:rPr>
          <w:lang w:val="en-GB"/>
        </w:rPr>
      </w:pPr>
      <w:r w:rsidRPr="00F32E15">
        <w:rPr>
          <w:lang w:val="en-GB"/>
        </w:rPr>
        <w:t>Ministério do Trabalho e Solidariedade Social/Gabinete de Estratégia e Planeamento (2009). Inquérito ao Impacte das Acções de Formação Profisisonal 2005-2007 (Survey to the impact of vocational education and training courses 2005-2007). Lisboa: Ministério do Trabalho e Solidariedade Social/Gabinete de Estratégia e Planeamento.</w:t>
      </w:r>
    </w:p>
    <w:p w14:paraId="136D0AC4" w14:textId="77777777" w:rsidR="00304CB9" w:rsidRPr="00F32E15" w:rsidRDefault="00304CB9" w:rsidP="00304CB9">
      <w:pPr>
        <w:pStyle w:val="Body"/>
        <w:rPr>
          <w:lang w:val="en-GB"/>
        </w:rPr>
      </w:pPr>
      <w:r w:rsidRPr="00F32E15">
        <w:rPr>
          <w:lang w:val="en-GB"/>
        </w:rPr>
        <w:t>Monteiro, A, Barros, R. &amp; Moreira, J. (2015). Novos públlicos do ensino superior: abordagem à aprendizagem dos estudantes maiores de 23 anos (New publics in higher education: discussion to learning of older than 23 programme students). Revista Portuguesa de Pedagogia, Ano 49-1, pp. 131-149.</w:t>
      </w:r>
    </w:p>
    <w:p w14:paraId="5942CB9B" w14:textId="77777777" w:rsidR="00304CB9" w:rsidRPr="00F32E15" w:rsidRDefault="00304CB9" w:rsidP="00304CB9">
      <w:pPr>
        <w:pStyle w:val="Body"/>
        <w:rPr>
          <w:lang w:val="en-GB"/>
        </w:rPr>
      </w:pPr>
      <w:r w:rsidRPr="00F32E15">
        <w:rPr>
          <w:lang w:val="en-GB"/>
        </w:rPr>
        <w:t>OECD (2013). Education at a Glance 2013: OECD Indicators, OECD Publishing. Accessed in http://dx.doi.org/10.1787/eag-2013-en on 15.09.2016.</w:t>
      </w:r>
    </w:p>
    <w:p w14:paraId="7289E14E" w14:textId="77777777" w:rsidR="00304CB9" w:rsidRPr="00F32E15" w:rsidRDefault="00304CB9" w:rsidP="00304CB9">
      <w:pPr>
        <w:pStyle w:val="Body"/>
        <w:rPr>
          <w:lang w:val="en-GB"/>
        </w:rPr>
      </w:pPr>
      <w:r w:rsidRPr="00F32E15">
        <w:rPr>
          <w:lang w:val="en-GB"/>
        </w:rPr>
        <w:t xml:space="preserve">OECD (2015). Education at a Glance Interim Report. Update of Employment and Educational Attainment Indicators accessed in </w:t>
      </w:r>
      <w:hyperlink r:id="rId23" w:history="1">
        <w:r w:rsidRPr="00F32E15">
          <w:rPr>
            <w:lang w:val="en-GB"/>
          </w:rPr>
          <w:t>https://www.oecd.org/edu/EAG-Interim-report.pdf</w:t>
        </w:r>
      </w:hyperlink>
      <w:r w:rsidRPr="00F32E15">
        <w:rPr>
          <w:lang w:val="en-GB"/>
        </w:rPr>
        <w:t xml:space="preserve"> on 15.09.2016.</w:t>
      </w:r>
    </w:p>
    <w:p w14:paraId="2E957209" w14:textId="77777777" w:rsidR="00304CB9" w:rsidRPr="001D1691" w:rsidRDefault="00304CB9" w:rsidP="00304CB9">
      <w:pPr>
        <w:pStyle w:val="Body"/>
      </w:pPr>
      <w:r w:rsidRPr="00F32E15">
        <w:rPr>
          <w:lang w:val="en-GB"/>
        </w:rPr>
        <w:t xml:space="preserve">Ricardo, R. (2016). </w:t>
      </w:r>
      <w:proofErr w:type="gramStart"/>
      <w:r w:rsidRPr="00F32E15">
        <w:rPr>
          <w:lang w:val="en-GB"/>
        </w:rPr>
        <w:t>A</w:t>
      </w:r>
      <w:proofErr w:type="gramEnd"/>
      <w:r w:rsidRPr="00F32E15">
        <w:rPr>
          <w:lang w:val="en-GB"/>
        </w:rPr>
        <w:t xml:space="preserve"> educação e a terceira idade em Portugal: estudo exploratório de uma universidade sénior (Education and the third age in Portugal: an exploratory study of a third age university). </w:t>
      </w:r>
      <w:r w:rsidRPr="001D1691">
        <w:t>Investigar em Educação, II série, vol. 5, pp. 99-116.</w:t>
      </w:r>
    </w:p>
    <w:p w14:paraId="3644911F" w14:textId="77777777" w:rsidR="00304CB9" w:rsidRPr="00F32E15" w:rsidRDefault="00304CB9" w:rsidP="00304CB9">
      <w:pPr>
        <w:pStyle w:val="Body"/>
        <w:rPr>
          <w:lang w:val="en-GB"/>
        </w:rPr>
      </w:pPr>
      <w:r w:rsidRPr="001D1691">
        <w:lastRenderedPageBreak/>
        <w:t xml:space="preserve">Rubenson, K. &amp; Desjardins, R. (2009). </w:t>
      </w:r>
      <w:r w:rsidRPr="00F32E15">
        <w:rPr>
          <w:lang w:val="en-GB"/>
        </w:rPr>
        <w:t>The impact of welfare state regimes on barriers to participation in adult education. A bounded agency model. Adult Education Quarterly, vol. 59, n</w:t>
      </w:r>
      <w:proofErr w:type="gramStart"/>
      <w:r w:rsidRPr="00F32E15">
        <w:rPr>
          <w:lang w:val="en-GB"/>
        </w:rPr>
        <w:t>.º</w:t>
      </w:r>
      <w:proofErr w:type="gramEnd"/>
      <w:r w:rsidRPr="00F32E15">
        <w:rPr>
          <w:lang w:val="en-GB"/>
        </w:rPr>
        <w:t xml:space="preserve"> 3, pp. 187-207.</w:t>
      </w:r>
    </w:p>
    <w:p w14:paraId="7F802188" w14:textId="77777777" w:rsidR="00304CB9" w:rsidRPr="001D1691" w:rsidRDefault="00304CB9" w:rsidP="00304CB9">
      <w:pPr>
        <w:pStyle w:val="Body"/>
      </w:pPr>
      <w:r w:rsidRPr="001D1691">
        <w:t xml:space="preserve">Valente, A. C. (Coord.), Simões, A. &amp; santos, F. (2014). </w:t>
      </w:r>
      <w:r w:rsidRPr="00F32E15">
        <w:rPr>
          <w:lang w:val="en-GB"/>
        </w:rPr>
        <w:t xml:space="preserve">Adultos de Baixa Escolaridade: desafios para </w:t>
      </w:r>
      <w:proofErr w:type="gramStart"/>
      <w:r w:rsidRPr="00F32E15">
        <w:rPr>
          <w:lang w:val="en-GB"/>
        </w:rPr>
        <w:t>a</w:t>
      </w:r>
      <w:proofErr w:type="gramEnd"/>
      <w:r w:rsidRPr="00F32E15">
        <w:rPr>
          <w:lang w:val="en-GB"/>
        </w:rPr>
        <w:t xml:space="preserve"> Aprendizagem ao Longo da Vida (ALV) em Portugal (Adults with low school education: challenges for lifelong learning in Portugal). </w:t>
      </w:r>
      <w:r w:rsidRPr="001D1691">
        <w:t>Lisboa: Instituto de Estudos Sociais e Económicos.</w:t>
      </w:r>
    </w:p>
    <w:p w14:paraId="71936559" w14:textId="7138A7FD" w:rsidR="00B74D78" w:rsidRDefault="00304CB9" w:rsidP="00304CB9">
      <w:pPr>
        <w:pStyle w:val="Body"/>
      </w:pPr>
      <w:r w:rsidRPr="001D1691">
        <w:t>Veloso, E. (2011). Vidas Depois da Reforma (Lives after retirement). Lisboa: Coisas de Ler.</w:t>
      </w:r>
    </w:p>
    <w:p w14:paraId="25919471" w14:textId="77777777" w:rsidR="00B74D78" w:rsidRDefault="00B74D78">
      <w:pPr>
        <w:spacing w:after="0"/>
        <w:jc w:val="left"/>
        <w:rPr>
          <w:rFonts w:ascii="Verdana" w:hAnsi="Verdana"/>
          <w:sz w:val="20"/>
        </w:rPr>
      </w:pPr>
      <w:r>
        <w:br w:type="page"/>
      </w:r>
    </w:p>
    <w:p w14:paraId="7D425F61" w14:textId="77777777" w:rsidR="00B74D78" w:rsidRPr="00F32E15" w:rsidRDefault="00B74D78" w:rsidP="00C020D0">
      <w:pPr>
        <w:pStyle w:val="Heading"/>
        <w:rPr>
          <w:lang w:val="en-GB"/>
        </w:rPr>
      </w:pPr>
      <w:bookmarkStart w:id="54" w:name="_Toc491862521"/>
      <w:r w:rsidRPr="00F32E15">
        <w:rPr>
          <w:lang w:val="en-GB"/>
        </w:rPr>
        <w:lastRenderedPageBreak/>
        <w:t>Annexes</w:t>
      </w:r>
      <w:bookmarkEnd w:id="54"/>
    </w:p>
    <w:p w14:paraId="7651FC07" w14:textId="77777777" w:rsidR="00B74D78" w:rsidRPr="00F32E15" w:rsidRDefault="00B74D78" w:rsidP="00C020D0">
      <w:pPr>
        <w:pStyle w:val="Heading2"/>
        <w:numPr>
          <w:ilvl w:val="0"/>
          <w:numId w:val="0"/>
        </w:numPr>
        <w:ind w:left="1049" w:hanging="567"/>
        <w:rPr>
          <w:lang w:val="en-GB"/>
        </w:rPr>
      </w:pPr>
      <w:r w:rsidRPr="00F32E15">
        <w:rPr>
          <w:lang w:val="en-GB"/>
        </w:rPr>
        <w:t>Annex 1: List of adopted legal acts, strategies, laws</w:t>
      </w:r>
    </w:p>
    <w:tbl>
      <w:tblPr>
        <w:tblStyle w:val="ecTable"/>
        <w:tblW w:w="5000" w:type="pct"/>
        <w:tblLook w:val="0420" w:firstRow="1" w:lastRow="0" w:firstColumn="0" w:lastColumn="0" w:noHBand="0" w:noVBand="1"/>
      </w:tblPr>
      <w:tblGrid>
        <w:gridCol w:w="1764"/>
        <w:gridCol w:w="2873"/>
        <w:gridCol w:w="4359"/>
      </w:tblGrid>
      <w:tr w:rsidR="00B74D78" w:rsidRPr="00013DFC" w14:paraId="5DA01A2E" w14:textId="77777777" w:rsidTr="00F41B98">
        <w:trPr>
          <w:cnfStyle w:val="100000000000" w:firstRow="1" w:lastRow="0" w:firstColumn="0" w:lastColumn="0" w:oddVBand="0" w:evenVBand="0" w:oddHBand="0" w:evenHBand="0" w:firstRowFirstColumn="0" w:firstRowLastColumn="0" w:lastRowFirstColumn="0" w:lastRowLastColumn="0"/>
          <w:trHeight w:val="624"/>
        </w:trPr>
        <w:tc>
          <w:tcPr>
            <w:tcW w:w="980" w:type="pct"/>
          </w:tcPr>
          <w:p w14:paraId="423E990C" w14:textId="77777777" w:rsidR="00B74D78" w:rsidRPr="00B74D78" w:rsidRDefault="00B74D78" w:rsidP="00F41B98">
            <w:pPr>
              <w:pStyle w:val="Tabletext"/>
              <w:rPr>
                <w:rFonts w:ascii="Verdana" w:hAnsi="Verdana"/>
              </w:rPr>
            </w:pPr>
            <w:r w:rsidRPr="00B74D78">
              <w:rPr>
                <w:rFonts w:ascii="Verdana" w:hAnsi="Verdana"/>
              </w:rPr>
              <w:t xml:space="preserve">Name </w:t>
            </w:r>
          </w:p>
        </w:tc>
        <w:tc>
          <w:tcPr>
            <w:tcW w:w="1597" w:type="pct"/>
          </w:tcPr>
          <w:p w14:paraId="7682289D" w14:textId="77777777" w:rsidR="00B74D78" w:rsidRPr="00B74D78" w:rsidRDefault="00B74D78" w:rsidP="00F41B98">
            <w:pPr>
              <w:pStyle w:val="Tabletext"/>
              <w:rPr>
                <w:rFonts w:ascii="Verdana" w:hAnsi="Verdana"/>
              </w:rPr>
            </w:pPr>
            <w:r w:rsidRPr="00B74D78">
              <w:rPr>
                <w:rFonts w:ascii="Verdana" w:hAnsi="Verdana"/>
              </w:rPr>
              <w:t xml:space="preserve">Date of adoption </w:t>
            </w:r>
          </w:p>
        </w:tc>
        <w:tc>
          <w:tcPr>
            <w:tcW w:w="2423" w:type="pct"/>
          </w:tcPr>
          <w:p w14:paraId="7A5D0545" w14:textId="77777777" w:rsidR="00B74D78" w:rsidRPr="00B74D78" w:rsidRDefault="00B74D78" w:rsidP="00F41B98">
            <w:pPr>
              <w:pStyle w:val="Tabletext"/>
              <w:rPr>
                <w:rFonts w:ascii="Verdana" w:hAnsi="Verdana"/>
              </w:rPr>
            </w:pPr>
            <w:r w:rsidRPr="00B74D78">
              <w:rPr>
                <w:rFonts w:ascii="Verdana" w:hAnsi="Verdana"/>
              </w:rPr>
              <w:t xml:space="preserve">Short description of content </w:t>
            </w:r>
          </w:p>
        </w:tc>
      </w:tr>
      <w:tr w:rsidR="00B74D78" w:rsidRPr="00F32E15" w14:paraId="2C7796BF" w14:textId="77777777" w:rsidTr="00F41B98">
        <w:tc>
          <w:tcPr>
            <w:tcW w:w="980" w:type="pct"/>
          </w:tcPr>
          <w:p w14:paraId="62194920" w14:textId="77777777" w:rsidR="00B74D78" w:rsidRPr="00B74D78" w:rsidRDefault="00B74D78" w:rsidP="00F41B98">
            <w:pPr>
              <w:pStyle w:val="Tabletext"/>
              <w:rPr>
                <w:rFonts w:ascii="Verdana" w:hAnsi="Verdana"/>
              </w:rPr>
            </w:pPr>
            <w:r w:rsidRPr="00B74D78">
              <w:rPr>
                <w:rFonts w:ascii="Verdana" w:hAnsi="Verdana"/>
              </w:rPr>
              <w:t>Law of the educational system</w:t>
            </w:r>
          </w:p>
          <w:p w14:paraId="7F173879" w14:textId="77777777" w:rsidR="00B74D78" w:rsidRPr="00B74D78" w:rsidRDefault="00B74D78" w:rsidP="00F41B98">
            <w:pPr>
              <w:pStyle w:val="Tabletext"/>
              <w:rPr>
                <w:rFonts w:ascii="Verdana" w:hAnsi="Verdana"/>
              </w:rPr>
            </w:pPr>
            <w:r w:rsidRPr="00B74D78">
              <w:rPr>
                <w:rFonts w:ascii="Verdana" w:hAnsi="Verdana"/>
              </w:rPr>
              <w:t>(Lei de Bases do Sistema Educativo)</w:t>
            </w:r>
          </w:p>
        </w:tc>
        <w:tc>
          <w:tcPr>
            <w:tcW w:w="1597" w:type="pct"/>
          </w:tcPr>
          <w:p w14:paraId="38DE70B8" w14:textId="77777777" w:rsidR="00B74D78" w:rsidRPr="00F32E15" w:rsidRDefault="00B74D78" w:rsidP="00F41B98">
            <w:pPr>
              <w:pStyle w:val="Tabletext"/>
              <w:rPr>
                <w:rFonts w:ascii="Verdana" w:hAnsi="Verdana"/>
                <w:lang w:val="fr-FR"/>
              </w:rPr>
            </w:pPr>
            <w:r w:rsidRPr="00F32E15">
              <w:rPr>
                <w:rFonts w:ascii="Verdana" w:hAnsi="Verdana"/>
                <w:lang w:val="fr-FR"/>
              </w:rPr>
              <w:t>1986</w:t>
            </w:r>
          </w:p>
          <w:p w14:paraId="489718F0" w14:textId="77777777" w:rsidR="00B74D78" w:rsidRPr="00F32E15" w:rsidRDefault="00B74D78" w:rsidP="00F41B98">
            <w:pPr>
              <w:pStyle w:val="Tabletext"/>
              <w:rPr>
                <w:rFonts w:ascii="Verdana" w:hAnsi="Verdana"/>
                <w:lang w:val="fr-FR"/>
              </w:rPr>
            </w:pPr>
            <w:r w:rsidRPr="00F32E15">
              <w:rPr>
                <w:rFonts w:ascii="Verdana" w:hAnsi="Verdana"/>
                <w:lang w:val="fr-FR"/>
              </w:rPr>
              <w:t>(Lei n.º 46/86, 14/10; Lei n. º 115/97, 19/09; Lei n.º 49/2005, 30/08; Lei n.º 85/2009, 27/08)</w:t>
            </w:r>
          </w:p>
        </w:tc>
        <w:tc>
          <w:tcPr>
            <w:tcW w:w="2423" w:type="pct"/>
          </w:tcPr>
          <w:p w14:paraId="67A47DB6" w14:textId="77777777" w:rsidR="00B74D78" w:rsidRPr="00B74D78" w:rsidRDefault="00B74D78" w:rsidP="00F41B98">
            <w:pPr>
              <w:pStyle w:val="Tabletext"/>
              <w:rPr>
                <w:rFonts w:ascii="Verdana" w:hAnsi="Verdana"/>
              </w:rPr>
            </w:pPr>
            <w:r w:rsidRPr="00B74D78">
              <w:rPr>
                <w:rFonts w:ascii="Verdana" w:hAnsi="Verdana"/>
              </w:rPr>
              <w:t>Describes the structure and tasks of the whole educational system.</w:t>
            </w:r>
          </w:p>
        </w:tc>
      </w:tr>
      <w:tr w:rsidR="00B74D78" w:rsidRPr="00F32E15" w14:paraId="29123AE8" w14:textId="77777777" w:rsidTr="00F41B98">
        <w:tc>
          <w:tcPr>
            <w:tcW w:w="980" w:type="pct"/>
          </w:tcPr>
          <w:p w14:paraId="02DED8E2" w14:textId="77777777" w:rsidR="00B74D78" w:rsidRPr="00B74D78" w:rsidRDefault="00B74D78" w:rsidP="00F41B98">
            <w:pPr>
              <w:pStyle w:val="Tabletext"/>
              <w:rPr>
                <w:rFonts w:ascii="Verdana" w:hAnsi="Verdana"/>
              </w:rPr>
            </w:pPr>
            <w:r w:rsidRPr="00B74D78">
              <w:rPr>
                <w:rFonts w:ascii="Verdana" w:hAnsi="Verdana"/>
              </w:rPr>
              <w:t>National qualification framework</w:t>
            </w:r>
          </w:p>
        </w:tc>
        <w:tc>
          <w:tcPr>
            <w:tcW w:w="1597" w:type="pct"/>
          </w:tcPr>
          <w:p w14:paraId="3A33121F" w14:textId="77777777" w:rsidR="00B74D78" w:rsidRPr="00B74D78" w:rsidRDefault="00B74D78" w:rsidP="00F41B98">
            <w:pPr>
              <w:pStyle w:val="Tabletext"/>
              <w:rPr>
                <w:rFonts w:ascii="Verdana" w:hAnsi="Verdana"/>
              </w:rPr>
            </w:pPr>
            <w:r w:rsidRPr="00B74D78">
              <w:rPr>
                <w:rFonts w:ascii="Verdana" w:hAnsi="Verdana"/>
              </w:rPr>
              <w:t>2009</w:t>
            </w:r>
          </w:p>
          <w:p w14:paraId="544AF5B2" w14:textId="77777777" w:rsidR="00B74D78" w:rsidRPr="00B74D78" w:rsidRDefault="00B74D78" w:rsidP="00F41B98">
            <w:pPr>
              <w:pStyle w:val="Tabletext"/>
              <w:rPr>
                <w:rFonts w:ascii="Verdana" w:hAnsi="Verdana"/>
              </w:rPr>
            </w:pPr>
            <w:r w:rsidRPr="00B74D78">
              <w:rPr>
                <w:rFonts w:ascii="Verdana" w:hAnsi="Verdana"/>
              </w:rPr>
              <w:t>(Portaria n.º 782/2009, 23/07)</w:t>
            </w:r>
          </w:p>
        </w:tc>
        <w:tc>
          <w:tcPr>
            <w:tcW w:w="2423" w:type="pct"/>
          </w:tcPr>
          <w:p w14:paraId="5AC0949D" w14:textId="77777777" w:rsidR="00B74D78" w:rsidRPr="00B74D78" w:rsidRDefault="00B74D78" w:rsidP="00F41B98">
            <w:pPr>
              <w:pStyle w:val="Tabletext"/>
              <w:rPr>
                <w:rFonts w:ascii="Verdana" w:hAnsi="Verdana"/>
              </w:rPr>
            </w:pPr>
            <w:r w:rsidRPr="00B74D78">
              <w:rPr>
                <w:rFonts w:ascii="Verdana" w:hAnsi="Verdana"/>
              </w:rPr>
              <w:t>Sets the national qualification framework according to several levels.</w:t>
            </w:r>
          </w:p>
        </w:tc>
      </w:tr>
      <w:tr w:rsidR="00B74D78" w:rsidRPr="00F32E15" w14:paraId="4BED85E0" w14:textId="77777777" w:rsidTr="00F41B98">
        <w:tc>
          <w:tcPr>
            <w:tcW w:w="980" w:type="pct"/>
          </w:tcPr>
          <w:p w14:paraId="3B6A9107" w14:textId="77777777" w:rsidR="00B74D78" w:rsidRPr="00B74D78" w:rsidRDefault="00B74D78" w:rsidP="00F41B98">
            <w:pPr>
              <w:pStyle w:val="Tabletext"/>
              <w:rPr>
                <w:rFonts w:ascii="Verdana" w:hAnsi="Verdana"/>
              </w:rPr>
            </w:pPr>
            <w:r w:rsidRPr="00B74D78">
              <w:rPr>
                <w:rFonts w:ascii="Verdana" w:hAnsi="Verdana"/>
              </w:rPr>
              <w:t>Law of vocational education and training</w:t>
            </w:r>
          </w:p>
        </w:tc>
        <w:tc>
          <w:tcPr>
            <w:tcW w:w="1597" w:type="pct"/>
          </w:tcPr>
          <w:p w14:paraId="024A7C9C" w14:textId="77777777" w:rsidR="00B74D78" w:rsidRPr="00B74D78" w:rsidRDefault="00B74D78" w:rsidP="00F41B98">
            <w:pPr>
              <w:pStyle w:val="Tabletext"/>
              <w:rPr>
                <w:rFonts w:ascii="Verdana" w:hAnsi="Verdana"/>
              </w:rPr>
            </w:pPr>
            <w:r w:rsidRPr="00B74D78">
              <w:rPr>
                <w:rFonts w:ascii="Verdana" w:hAnsi="Verdana"/>
              </w:rPr>
              <w:t>2016</w:t>
            </w:r>
          </w:p>
          <w:p w14:paraId="7E9B0F96" w14:textId="77777777" w:rsidR="00B74D78" w:rsidRPr="00B74D78" w:rsidRDefault="00B74D78" w:rsidP="00F41B98">
            <w:pPr>
              <w:pStyle w:val="Tabletext"/>
              <w:rPr>
                <w:rFonts w:ascii="Verdana" w:hAnsi="Verdana"/>
              </w:rPr>
            </w:pPr>
            <w:r w:rsidRPr="00B74D78">
              <w:rPr>
                <w:rFonts w:ascii="Verdana" w:hAnsi="Verdana"/>
              </w:rPr>
              <w:t>(Lei n.º 7/2009, 12/02)</w:t>
            </w:r>
          </w:p>
        </w:tc>
        <w:tc>
          <w:tcPr>
            <w:tcW w:w="2423" w:type="pct"/>
          </w:tcPr>
          <w:p w14:paraId="1DB1E010" w14:textId="77777777" w:rsidR="00B74D78" w:rsidRPr="00B74D78" w:rsidRDefault="00B74D78" w:rsidP="00F41B98">
            <w:pPr>
              <w:pStyle w:val="Tabletext"/>
              <w:rPr>
                <w:rFonts w:ascii="Verdana" w:hAnsi="Verdana"/>
              </w:rPr>
            </w:pPr>
            <w:r w:rsidRPr="00B74D78">
              <w:rPr>
                <w:rFonts w:ascii="Verdana" w:hAnsi="Verdana"/>
              </w:rPr>
              <w:t>Sets vocational education and training, namely continuing education and training directed at workers.</w:t>
            </w:r>
          </w:p>
        </w:tc>
      </w:tr>
      <w:tr w:rsidR="00B74D78" w:rsidRPr="00013DFC" w14:paraId="38F5E8B0" w14:textId="77777777" w:rsidTr="00F41B98">
        <w:tc>
          <w:tcPr>
            <w:tcW w:w="980" w:type="pct"/>
          </w:tcPr>
          <w:p w14:paraId="7235C7D3" w14:textId="77777777" w:rsidR="00B74D78" w:rsidRPr="00B74D78" w:rsidRDefault="00B74D78" w:rsidP="00F41B98">
            <w:pPr>
              <w:pStyle w:val="Tabletext"/>
              <w:rPr>
                <w:rFonts w:ascii="Verdana" w:hAnsi="Verdana"/>
              </w:rPr>
            </w:pPr>
            <w:r w:rsidRPr="00B74D78">
              <w:rPr>
                <w:rFonts w:ascii="Verdana" w:hAnsi="Verdana"/>
              </w:rPr>
              <w:t>Programa Qualifica</w:t>
            </w:r>
          </w:p>
        </w:tc>
        <w:tc>
          <w:tcPr>
            <w:tcW w:w="1597" w:type="pct"/>
          </w:tcPr>
          <w:p w14:paraId="143FE79C" w14:textId="77777777" w:rsidR="00B74D78" w:rsidRPr="00B74D78" w:rsidRDefault="00B74D78" w:rsidP="00F41B98">
            <w:pPr>
              <w:pStyle w:val="Tabletext"/>
              <w:rPr>
                <w:rFonts w:ascii="Verdana" w:hAnsi="Verdana"/>
              </w:rPr>
            </w:pPr>
            <w:r w:rsidRPr="00B74D78">
              <w:rPr>
                <w:rFonts w:ascii="Verdana" w:hAnsi="Verdana"/>
              </w:rPr>
              <w:t>2016</w:t>
            </w:r>
          </w:p>
          <w:p w14:paraId="72A50C2F" w14:textId="77777777" w:rsidR="00B74D78" w:rsidRPr="00B74D78" w:rsidRDefault="00B74D78" w:rsidP="00F41B98">
            <w:pPr>
              <w:pStyle w:val="Tabletext"/>
              <w:rPr>
                <w:rFonts w:ascii="Verdana" w:hAnsi="Verdana"/>
              </w:rPr>
            </w:pPr>
            <w:r w:rsidRPr="00B74D78">
              <w:rPr>
                <w:rFonts w:ascii="Verdana" w:hAnsi="Verdana"/>
              </w:rPr>
              <w:t>(Portaria n.º 232/2016, 29/08)</w:t>
            </w:r>
          </w:p>
        </w:tc>
        <w:tc>
          <w:tcPr>
            <w:tcW w:w="2423" w:type="pct"/>
          </w:tcPr>
          <w:p w14:paraId="40D14FF9" w14:textId="77777777" w:rsidR="00B74D78" w:rsidRPr="00B74D78" w:rsidRDefault="00B74D78" w:rsidP="00F41B98">
            <w:pPr>
              <w:pStyle w:val="Tabletext"/>
              <w:rPr>
                <w:rFonts w:ascii="Verdana" w:hAnsi="Verdana"/>
              </w:rPr>
            </w:pPr>
            <w:r w:rsidRPr="00B74D78">
              <w:rPr>
                <w:rFonts w:ascii="Verdana" w:hAnsi="Verdana"/>
              </w:rPr>
              <w:t>Second-chance basic and secondary education as well as vocational education and training programme. Establishes centres qualify and these centres activity.</w:t>
            </w:r>
          </w:p>
        </w:tc>
      </w:tr>
      <w:tr w:rsidR="00B74D78" w:rsidRPr="00F32E15" w14:paraId="59DD5E37" w14:textId="77777777" w:rsidTr="00F41B98">
        <w:tc>
          <w:tcPr>
            <w:tcW w:w="980" w:type="pct"/>
          </w:tcPr>
          <w:p w14:paraId="4CEC6AA0" w14:textId="77777777" w:rsidR="00B74D78" w:rsidRPr="00B74D78" w:rsidRDefault="00B74D78" w:rsidP="00F41B98">
            <w:pPr>
              <w:pStyle w:val="Tabletext"/>
              <w:rPr>
                <w:rFonts w:ascii="Verdana" w:hAnsi="Verdana"/>
              </w:rPr>
            </w:pPr>
            <w:r w:rsidRPr="00B74D78">
              <w:rPr>
                <w:rFonts w:ascii="Verdana" w:hAnsi="Verdana"/>
              </w:rPr>
              <w:t>Programa Maiores de 23</w:t>
            </w:r>
          </w:p>
        </w:tc>
        <w:tc>
          <w:tcPr>
            <w:tcW w:w="1597" w:type="pct"/>
          </w:tcPr>
          <w:p w14:paraId="24C348EE" w14:textId="77777777" w:rsidR="00B74D78" w:rsidRPr="00B74D78" w:rsidRDefault="00B74D78" w:rsidP="00F41B98">
            <w:pPr>
              <w:pStyle w:val="Tabletext"/>
              <w:rPr>
                <w:rFonts w:ascii="Verdana" w:hAnsi="Verdana"/>
              </w:rPr>
            </w:pPr>
            <w:r w:rsidRPr="00B74D78">
              <w:rPr>
                <w:rFonts w:ascii="Verdana" w:hAnsi="Verdana"/>
              </w:rPr>
              <w:t>2006</w:t>
            </w:r>
          </w:p>
          <w:p w14:paraId="72D18CE7" w14:textId="77777777" w:rsidR="00B74D78" w:rsidRPr="00B74D78" w:rsidRDefault="00B74D78" w:rsidP="00F41B98">
            <w:pPr>
              <w:pStyle w:val="Tabletext"/>
              <w:rPr>
                <w:rFonts w:ascii="Verdana" w:hAnsi="Verdana"/>
              </w:rPr>
            </w:pPr>
            <w:r w:rsidRPr="00B74D78">
              <w:rPr>
                <w:rFonts w:ascii="Verdana" w:hAnsi="Verdana"/>
              </w:rPr>
              <w:t>(Decreto-Lei n.º 64/2006, 21/03; Decreto-Lei nº 113/2014, 16/07; Decreto-Lei n.º 63/2016, 13/09)</w:t>
            </w:r>
          </w:p>
        </w:tc>
        <w:tc>
          <w:tcPr>
            <w:tcW w:w="2423" w:type="pct"/>
          </w:tcPr>
          <w:p w14:paraId="6C176DD4" w14:textId="77777777" w:rsidR="00B74D78" w:rsidRPr="00B74D78" w:rsidRDefault="00B74D78" w:rsidP="00F41B98">
            <w:pPr>
              <w:pStyle w:val="Tabletext"/>
              <w:rPr>
                <w:rFonts w:ascii="Verdana" w:hAnsi="Verdana"/>
              </w:rPr>
            </w:pPr>
            <w:r w:rsidRPr="00B74D78">
              <w:rPr>
                <w:rFonts w:ascii="Verdana" w:hAnsi="Verdana"/>
              </w:rPr>
              <w:t>Sets higher education entrance path for adult learners.</w:t>
            </w:r>
          </w:p>
        </w:tc>
      </w:tr>
      <w:tr w:rsidR="00B74D78" w:rsidRPr="00F32E15" w14:paraId="692E2637" w14:textId="77777777" w:rsidTr="00F41B98">
        <w:tc>
          <w:tcPr>
            <w:tcW w:w="980" w:type="pct"/>
          </w:tcPr>
          <w:p w14:paraId="1C745C18" w14:textId="77777777" w:rsidR="00B74D78" w:rsidRPr="00B74D78" w:rsidRDefault="00B74D78" w:rsidP="00F41B98">
            <w:pPr>
              <w:pStyle w:val="Tabletext"/>
              <w:rPr>
                <w:rFonts w:ascii="Verdana" w:hAnsi="Verdana"/>
              </w:rPr>
            </w:pPr>
            <w:r w:rsidRPr="00B74D78">
              <w:rPr>
                <w:rFonts w:ascii="Verdana" w:hAnsi="Verdana"/>
              </w:rPr>
              <w:t>Launching of professional technical courses</w:t>
            </w:r>
          </w:p>
        </w:tc>
        <w:tc>
          <w:tcPr>
            <w:tcW w:w="1597" w:type="pct"/>
          </w:tcPr>
          <w:p w14:paraId="36FDBEB7" w14:textId="77777777" w:rsidR="00B74D78" w:rsidRPr="00B74D78" w:rsidRDefault="00B74D78" w:rsidP="00F41B98">
            <w:pPr>
              <w:pStyle w:val="Tabletext"/>
              <w:rPr>
                <w:rFonts w:ascii="Verdana" w:hAnsi="Verdana"/>
              </w:rPr>
            </w:pPr>
            <w:r w:rsidRPr="00B74D78">
              <w:rPr>
                <w:rFonts w:ascii="Verdana" w:hAnsi="Verdana"/>
              </w:rPr>
              <w:t>2016</w:t>
            </w:r>
          </w:p>
          <w:p w14:paraId="3F8A3C96" w14:textId="77777777" w:rsidR="00B74D78" w:rsidRPr="00B74D78" w:rsidRDefault="00B74D78" w:rsidP="00F41B98">
            <w:pPr>
              <w:pStyle w:val="Tabletext"/>
              <w:rPr>
                <w:rFonts w:ascii="Verdana" w:hAnsi="Verdana"/>
              </w:rPr>
            </w:pPr>
            <w:r w:rsidRPr="00B74D78">
              <w:rPr>
                <w:rFonts w:ascii="Verdana" w:hAnsi="Verdana"/>
              </w:rPr>
              <w:t>(Decreto Lei n.º 74/2006, 24/03; Decreto Lei n.º 63/2016, 13/09)</w:t>
            </w:r>
          </w:p>
        </w:tc>
        <w:tc>
          <w:tcPr>
            <w:tcW w:w="2423" w:type="pct"/>
          </w:tcPr>
          <w:p w14:paraId="3543129F" w14:textId="77777777" w:rsidR="00B74D78" w:rsidRPr="00B74D78" w:rsidRDefault="00B74D78" w:rsidP="00F41B98">
            <w:pPr>
              <w:pStyle w:val="Tabletext"/>
              <w:rPr>
                <w:rFonts w:ascii="Verdana" w:hAnsi="Verdana"/>
              </w:rPr>
            </w:pPr>
            <w:r w:rsidRPr="00B74D78">
              <w:rPr>
                <w:rFonts w:ascii="Verdana" w:hAnsi="Verdana"/>
              </w:rPr>
              <w:t>Establishes rules for the implementation of professional and technical courses in higher education institutions.</w:t>
            </w:r>
          </w:p>
        </w:tc>
      </w:tr>
      <w:tr w:rsidR="00B74D78" w:rsidRPr="00F32E15" w14:paraId="75F9E447" w14:textId="77777777" w:rsidTr="00F41B98">
        <w:tc>
          <w:tcPr>
            <w:tcW w:w="980" w:type="pct"/>
          </w:tcPr>
          <w:p w14:paraId="2A7CFE9F" w14:textId="77777777" w:rsidR="00B74D78" w:rsidRPr="00B74D78" w:rsidRDefault="00B74D78" w:rsidP="00F41B98">
            <w:pPr>
              <w:pStyle w:val="Tabletext"/>
              <w:rPr>
                <w:rFonts w:ascii="Verdana" w:hAnsi="Verdana"/>
              </w:rPr>
            </w:pPr>
            <w:r w:rsidRPr="00B74D78">
              <w:rPr>
                <w:rFonts w:ascii="Verdana" w:hAnsi="Verdana"/>
              </w:rPr>
              <w:t>Validation on non-formal and informal learning in higher education institutions</w:t>
            </w:r>
          </w:p>
        </w:tc>
        <w:tc>
          <w:tcPr>
            <w:tcW w:w="1597" w:type="pct"/>
          </w:tcPr>
          <w:p w14:paraId="1840F028" w14:textId="77777777" w:rsidR="00B74D78" w:rsidRPr="00B74D78" w:rsidRDefault="00B74D78" w:rsidP="00F41B98">
            <w:pPr>
              <w:pStyle w:val="Tabletext"/>
              <w:rPr>
                <w:rFonts w:ascii="Verdana" w:hAnsi="Verdana"/>
              </w:rPr>
            </w:pPr>
            <w:r w:rsidRPr="00B74D78">
              <w:rPr>
                <w:rFonts w:ascii="Verdana" w:hAnsi="Verdana"/>
              </w:rPr>
              <w:t>2013</w:t>
            </w:r>
          </w:p>
          <w:p w14:paraId="0E49F292" w14:textId="77777777" w:rsidR="00B74D78" w:rsidRPr="00B74D78" w:rsidRDefault="00B74D78" w:rsidP="00F41B98">
            <w:pPr>
              <w:pStyle w:val="Tabletext"/>
              <w:rPr>
                <w:rFonts w:ascii="Verdana" w:hAnsi="Verdana"/>
              </w:rPr>
            </w:pPr>
            <w:r w:rsidRPr="00B74D78">
              <w:rPr>
                <w:rFonts w:ascii="Verdana" w:hAnsi="Verdana"/>
              </w:rPr>
              <w:t>(Decreto—Lei n.º 115/2013, 07/08)</w:t>
            </w:r>
          </w:p>
        </w:tc>
        <w:tc>
          <w:tcPr>
            <w:tcW w:w="2423" w:type="pct"/>
          </w:tcPr>
          <w:p w14:paraId="45EB7BD1" w14:textId="77777777" w:rsidR="00B74D78" w:rsidRPr="00B74D78" w:rsidRDefault="00B74D78" w:rsidP="00F41B98">
            <w:pPr>
              <w:pStyle w:val="Tabletext"/>
              <w:rPr>
                <w:rFonts w:ascii="Verdana" w:hAnsi="Verdana"/>
              </w:rPr>
            </w:pPr>
            <w:r w:rsidRPr="00B74D78">
              <w:rPr>
                <w:rFonts w:ascii="Verdana" w:hAnsi="Verdana"/>
              </w:rPr>
              <w:t>Sets rules for validation of non-formal and informal learning in higher education institutions.</w:t>
            </w:r>
          </w:p>
        </w:tc>
      </w:tr>
    </w:tbl>
    <w:p w14:paraId="0EB77274" w14:textId="77777777" w:rsidR="00B74D78" w:rsidRPr="00F32E15" w:rsidRDefault="00B74D78" w:rsidP="00B74D78">
      <w:pPr>
        <w:pStyle w:val="BodyText"/>
        <w:rPr>
          <w:lang w:val="en-GB"/>
        </w:rPr>
      </w:pPr>
    </w:p>
    <w:p w14:paraId="2EAE8CF4" w14:textId="77777777" w:rsidR="00B74D78" w:rsidRPr="00F32E15" w:rsidRDefault="00B74D78" w:rsidP="00B74D78">
      <w:pPr>
        <w:pStyle w:val="BodyText"/>
        <w:rPr>
          <w:lang w:val="en-GB"/>
        </w:rPr>
      </w:pPr>
    </w:p>
    <w:p w14:paraId="79624B0C" w14:textId="77777777" w:rsidR="00B74D78" w:rsidRPr="00F32E15" w:rsidRDefault="00B74D78" w:rsidP="00B74D78">
      <w:pPr>
        <w:pStyle w:val="BodyText"/>
        <w:rPr>
          <w:lang w:val="en-GB"/>
        </w:rPr>
      </w:pPr>
    </w:p>
    <w:p w14:paraId="5A8D13AD" w14:textId="77777777" w:rsidR="00304CB9" w:rsidRPr="00F32E15" w:rsidRDefault="00304CB9" w:rsidP="00304CB9">
      <w:pPr>
        <w:pStyle w:val="Body"/>
        <w:rPr>
          <w:lang w:val="en-GB"/>
        </w:rPr>
      </w:pPr>
    </w:p>
    <w:p w14:paraId="568BCE98" w14:textId="77777777" w:rsidR="00B74D78" w:rsidRPr="00F32E15" w:rsidRDefault="00B74D78" w:rsidP="00304CB9">
      <w:pPr>
        <w:pStyle w:val="Body"/>
        <w:rPr>
          <w:lang w:val="en-GB"/>
        </w:rPr>
      </w:pPr>
    </w:p>
    <w:p w14:paraId="1A6299EE" w14:textId="77777777" w:rsidR="00304CB9" w:rsidRPr="00F32E15" w:rsidRDefault="00304CB9" w:rsidP="00304CB9">
      <w:pPr>
        <w:pStyle w:val="Body"/>
        <w:rPr>
          <w:lang w:val="en-GB"/>
        </w:rPr>
      </w:pPr>
    </w:p>
    <w:p w14:paraId="27D548B3" w14:textId="77777777" w:rsidR="00304CB9" w:rsidRPr="00F32E15" w:rsidRDefault="00304CB9" w:rsidP="00304CB9">
      <w:pPr>
        <w:pStyle w:val="Body"/>
        <w:rPr>
          <w:lang w:val="en-GB"/>
        </w:rPr>
      </w:pPr>
    </w:p>
    <w:p w14:paraId="57547196" w14:textId="77777777" w:rsidR="00B74D78" w:rsidRPr="00F32E15" w:rsidRDefault="00B74D78" w:rsidP="00B74D78">
      <w:pPr>
        <w:pStyle w:val="Body"/>
        <w:rPr>
          <w:lang w:val="en-GB"/>
        </w:rPr>
        <w:sectPr w:rsidR="00B74D78" w:rsidRPr="00F32E15" w:rsidSect="0012020F">
          <w:headerReference w:type="default" r:id="rId24"/>
          <w:pgSz w:w="11906" w:h="16838" w:code="9"/>
          <w:pgMar w:top="1440" w:right="1440" w:bottom="1440" w:left="1440" w:header="567" w:footer="567" w:gutter="0"/>
          <w:cols w:space="708"/>
          <w:docGrid w:linePitch="360"/>
        </w:sectPr>
      </w:pPr>
    </w:p>
    <w:p w14:paraId="02F9E5D9" w14:textId="77777777" w:rsidR="00B74D78" w:rsidRPr="00863BFF" w:rsidRDefault="00B74D78" w:rsidP="00C020D0">
      <w:pPr>
        <w:pStyle w:val="Heading2"/>
        <w:numPr>
          <w:ilvl w:val="0"/>
          <w:numId w:val="0"/>
        </w:numPr>
        <w:ind w:left="1049" w:hanging="567"/>
      </w:pPr>
      <w:r w:rsidRPr="00863BFF">
        <w:lastRenderedPageBreak/>
        <w:t>Annex 2: Inventory of policy interventions</w:t>
      </w:r>
    </w:p>
    <w:tbl>
      <w:tblPr>
        <w:tblStyle w:val="ecTable"/>
        <w:tblW w:w="5000" w:type="pct"/>
        <w:tblLayout w:type="fixed"/>
        <w:tblLook w:val="0420" w:firstRow="1" w:lastRow="0" w:firstColumn="0" w:lastColumn="0" w:noHBand="0" w:noVBand="1"/>
      </w:tblPr>
      <w:tblGrid>
        <w:gridCol w:w="1529"/>
        <w:gridCol w:w="6101"/>
        <w:gridCol w:w="1011"/>
        <w:gridCol w:w="937"/>
        <w:gridCol w:w="444"/>
        <w:gridCol w:w="444"/>
        <w:gridCol w:w="444"/>
        <w:gridCol w:w="444"/>
        <w:gridCol w:w="444"/>
        <w:gridCol w:w="444"/>
        <w:gridCol w:w="1686"/>
      </w:tblGrid>
      <w:tr w:rsidR="00B74D78" w:rsidRPr="00863BFF" w14:paraId="3D42D2F4" w14:textId="77777777" w:rsidTr="003207A4">
        <w:trPr>
          <w:cnfStyle w:val="100000000000" w:firstRow="1" w:lastRow="0" w:firstColumn="0" w:lastColumn="0" w:oddVBand="0" w:evenVBand="0" w:oddHBand="0" w:evenHBand="0" w:firstRowFirstColumn="0" w:firstRowLastColumn="0" w:lastRowFirstColumn="0" w:lastRowLastColumn="0"/>
          <w:trHeight w:val="1474"/>
        </w:trPr>
        <w:tc>
          <w:tcPr>
            <w:tcW w:w="1529" w:type="dxa"/>
          </w:tcPr>
          <w:p w14:paraId="47F35CB8" w14:textId="77777777" w:rsidR="00B74D78" w:rsidRPr="00B74D78" w:rsidRDefault="00B74D78" w:rsidP="00F41B98">
            <w:pPr>
              <w:pStyle w:val="Tabletext"/>
              <w:rPr>
                <w:rFonts w:ascii="Verdana" w:hAnsi="Verdana"/>
              </w:rPr>
            </w:pPr>
            <w:r w:rsidRPr="00B74D78">
              <w:rPr>
                <w:rFonts w:ascii="Verdana" w:hAnsi="Verdana"/>
              </w:rPr>
              <w:t xml:space="preserve">Name of intervention </w:t>
            </w:r>
          </w:p>
        </w:tc>
        <w:tc>
          <w:tcPr>
            <w:tcW w:w="6101" w:type="dxa"/>
          </w:tcPr>
          <w:p w14:paraId="5E38E319" w14:textId="77777777" w:rsidR="00B74D78" w:rsidRPr="00B74D78" w:rsidRDefault="00B74D78" w:rsidP="00F41B98">
            <w:pPr>
              <w:pStyle w:val="Tabletext"/>
              <w:rPr>
                <w:rFonts w:ascii="Verdana" w:hAnsi="Verdana"/>
              </w:rPr>
            </w:pPr>
            <w:r w:rsidRPr="00B74D78">
              <w:rPr>
                <w:rFonts w:ascii="Verdana" w:hAnsi="Verdana"/>
              </w:rPr>
              <w:t xml:space="preserve">Source </w:t>
            </w:r>
          </w:p>
          <w:p w14:paraId="476D2846" w14:textId="77777777" w:rsidR="00B74D78" w:rsidRPr="00B74D78" w:rsidRDefault="00B74D78" w:rsidP="00F41B98">
            <w:pPr>
              <w:pStyle w:val="Tabletext"/>
              <w:rPr>
                <w:rFonts w:ascii="Verdana" w:hAnsi="Verdana"/>
              </w:rPr>
            </w:pPr>
            <w:r w:rsidRPr="00B74D78">
              <w:rPr>
                <w:rFonts w:ascii="Verdana" w:hAnsi="Verdana"/>
              </w:rPr>
              <w:t>(with hyperlink)</w:t>
            </w:r>
          </w:p>
        </w:tc>
        <w:tc>
          <w:tcPr>
            <w:tcW w:w="1011" w:type="dxa"/>
          </w:tcPr>
          <w:p w14:paraId="41AED860" w14:textId="77777777" w:rsidR="00B74D78" w:rsidRPr="00B74D78" w:rsidRDefault="00B74D78" w:rsidP="00F41B98">
            <w:pPr>
              <w:pStyle w:val="Tabletext"/>
              <w:rPr>
                <w:rFonts w:ascii="Verdana" w:hAnsi="Verdana"/>
              </w:rPr>
            </w:pPr>
            <w:r w:rsidRPr="00B74D78">
              <w:rPr>
                <w:rFonts w:ascii="Verdana" w:hAnsi="Verdana"/>
              </w:rPr>
              <w:t>Budget</w:t>
            </w:r>
          </w:p>
        </w:tc>
        <w:tc>
          <w:tcPr>
            <w:tcW w:w="937" w:type="dxa"/>
          </w:tcPr>
          <w:p w14:paraId="6BAFB7A2" w14:textId="77777777" w:rsidR="00B74D78" w:rsidRPr="00B74D78" w:rsidRDefault="00B74D78" w:rsidP="00F41B98">
            <w:pPr>
              <w:pStyle w:val="Tabletext"/>
              <w:rPr>
                <w:rFonts w:ascii="Verdana" w:hAnsi="Verdana"/>
              </w:rPr>
            </w:pPr>
            <w:r w:rsidRPr="00B74D78">
              <w:rPr>
                <w:rFonts w:ascii="Verdana" w:hAnsi="Verdana"/>
              </w:rPr>
              <w:t>Outputs</w:t>
            </w:r>
          </w:p>
        </w:tc>
        <w:tc>
          <w:tcPr>
            <w:tcW w:w="2664" w:type="dxa"/>
            <w:gridSpan w:val="6"/>
          </w:tcPr>
          <w:p w14:paraId="4F24BD1C" w14:textId="77777777" w:rsidR="00B74D78" w:rsidRPr="00B74D78" w:rsidRDefault="00B74D78" w:rsidP="00F41B98">
            <w:pPr>
              <w:pStyle w:val="Tabletext"/>
              <w:rPr>
                <w:rFonts w:ascii="Verdana" w:hAnsi="Verdana"/>
              </w:rPr>
            </w:pPr>
            <w:r w:rsidRPr="00B74D78">
              <w:rPr>
                <w:rFonts w:ascii="Verdana" w:hAnsi="Verdana"/>
              </w:rPr>
              <w:t>Which of the 6 building blocks for successful adult learning policies does it target? (tick all relevant)</w:t>
            </w:r>
          </w:p>
        </w:tc>
        <w:tc>
          <w:tcPr>
            <w:tcW w:w="1686" w:type="dxa"/>
          </w:tcPr>
          <w:p w14:paraId="4F77AD5E" w14:textId="77777777" w:rsidR="00B74D78" w:rsidRPr="00B74D78" w:rsidRDefault="00B74D78" w:rsidP="00F41B98">
            <w:pPr>
              <w:pStyle w:val="Tabletext"/>
              <w:rPr>
                <w:rFonts w:ascii="Verdana" w:hAnsi="Verdana"/>
              </w:rPr>
            </w:pPr>
            <w:r w:rsidRPr="00B74D78">
              <w:rPr>
                <w:rFonts w:ascii="Verdana" w:hAnsi="Verdana"/>
              </w:rPr>
              <w:t>Further details/description (purpose, duration, responsible entity etc.)</w:t>
            </w:r>
          </w:p>
        </w:tc>
      </w:tr>
      <w:tr w:rsidR="00B74D78" w:rsidRPr="00863BFF" w14:paraId="64E805DD" w14:textId="77777777" w:rsidTr="003207A4">
        <w:trPr>
          <w:trHeight w:val="3399"/>
        </w:trPr>
        <w:tc>
          <w:tcPr>
            <w:tcW w:w="9578" w:type="dxa"/>
            <w:gridSpan w:val="4"/>
          </w:tcPr>
          <w:p w14:paraId="47A3B262" w14:textId="77777777" w:rsidR="00B74D78" w:rsidRPr="00B74D78" w:rsidRDefault="00B74D78" w:rsidP="00F41B98">
            <w:pPr>
              <w:pStyle w:val="Tabletext"/>
              <w:rPr>
                <w:rFonts w:ascii="Verdana" w:hAnsi="Verdana"/>
              </w:rPr>
            </w:pPr>
          </w:p>
        </w:tc>
        <w:tc>
          <w:tcPr>
            <w:tcW w:w="444" w:type="dxa"/>
            <w:textDirection w:val="btLr"/>
          </w:tcPr>
          <w:p w14:paraId="6DFF27F9" w14:textId="77777777" w:rsidR="00B74D78" w:rsidRPr="003207A4" w:rsidRDefault="00B74D78" w:rsidP="003207A4">
            <w:pPr>
              <w:pStyle w:val="Tabletext"/>
              <w:spacing w:before="120" w:after="120"/>
              <w:jc w:val="left"/>
              <w:rPr>
                <w:rFonts w:ascii="Verdana" w:hAnsi="Verdana"/>
                <w:sz w:val="16"/>
              </w:rPr>
            </w:pPr>
            <w:r w:rsidRPr="003207A4">
              <w:rPr>
                <w:rFonts w:ascii="Verdana" w:hAnsi="Verdana"/>
                <w:sz w:val="16"/>
              </w:rPr>
              <w:t xml:space="preserve"> Fosters learners’ interest in learning </w:t>
            </w:r>
          </w:p>
        </w:tc>
        <w:tc>
          <w:tcPr>
            <w:tcW w:w="444" w:type="dxa"/>
            <w:textDirection w:val="btLr"/>
          </w:tcPr>
          <w:p w14:paraId="70AD7B82" w14:textId="77777777" w:rsidR="00B74D78" w:rsidRPr="003207A4" w:rsidRDefault="00B74D78" w:rsidP="003207A4">
            <w:pPr>
              <w:pStyle w:val="Tabletext"/>
              <w:spacing w:before="120" w:after="120"/>
              <w:jc w:val="left"/>
              <w:rPr>
                <w:rFonts w:ascii="Verdana" w:hAnsi="Verdana"/>
                <w:sz w:val="16"/>
              </w:rPr>
            </w:pPr>
            <w:r w:rsidRPr="003207A4">
              <w:rPr>
                <w:rFonts w:ascii="Verdana" w:hAnsi="Verdana"/>
                <w:sz w:val="16"/>
              </w:rPr>
              <w:t xml:space="preserve"> Employers’ investment in learning </w:t>
            </w:r>
          </w:p>
        </w:tc>
        <w:tc>
          <w:tcPr>
            <w:tcW w:w="444" w:type="dxa"/>
            <w:textDirection w:val="btLr"/>
          </w:tcPr>
          <w:p w14:paraId="4A681466" w14:textId="77777777" w:rsidR="00B74D78" w:rsidRPr="003207A4" w:rsidRDefault="00B74D78" w:rsidP="003207A4">
            <w:pPr>
              <w:pStyle w:val="Tabletext"/>
              <w:spacing w:before="120" w:after="120"/>
              <w:jc w:val="left"/>
              <w:rPr>
                <w:rFonts w:ascii="Verdana" w:hAnsi="Verdana"/>
                <w:sz w:val="16"/>
              </w:rPr>
            </w:pPr>
            <w:r w:rsidRPr="003207A4">
              <w:rPr>
                <w:rFonts w:ascii="Verdana" w:hAnsi="Verdana"/>
                <w:sz w:val="16"/>
              </w:rPr>
              <w:t xml:space="preserve"> Improve equity of access for all </w:t>
            </w:r>
          </w:p>
        </w:tc>
        <w:tc>
          <w:tcPr>
            <w:tcW w:w="444" w:type="dxa"/>
            <w:textDirection w:val="btLr"/>
          </w:tcPr>
          <w:p w14:paraId="15E375BB" w14:textId="77777777" w:rsidR="00B74D78" w:rsidRPr="003207A4" w:rsidRDefault="00B74D78" w:rsidP="003207A4">
            <w:pPr>
              <w:pStyle w:val="Tabletext"/>
              <w:spacing w:before="120" w:after="120"/>
              <w:jc w:val="left"/>
              <w:rPr>
                <w:rFonts w:ascii="Verdana" w:hAnsi="Verdana"/>
                <w:sz w:val="16"/>
              </w:rPr>
            </w:pPr>
            <w:r w:rsidRPr="003207A4">
              <w:rPr>
                <w:rFonts w:ascii="Verdana" w:hAnsi="Verdana"/>
                <w:sz w:val="16"/>
              </w:rPr>
              <w:t xml:space="preserve"> Learning that is relevant </w:t>
            </w:r>
          </w:p>
        </w:tc>
        <w:tc>
          <w:tcPr>
            <w:tcW w:w="444" w:type="dxa"/>
            <w:textDirection w:val="btLr"/>
          </w:tcPr>
          <w:p w14:paraId="52285742" w14:textId="77777777" w:rsidR="00B74D78" w:rsidRPr="003207A4" w:rsidRDefault="00B74D78" w:rsidP="003207A4">
            <w:pPr>
              <w:pStyle w:val="Tabletext"/>
              <w:spacing w:before="120" w:after="120"/>
              <w:jc w:val="left"/>
              <w:rPr>
                <w:rFonts w:ascii="Verdana" w:hAnsi="Verdana"/>
                <w:sz w:val="16"/>
              </w:rPr>
            </w:pPr>
            <w:r w:rsidRPr="003207A4">
              <w:rPr>
                <w:rFonts w:ascii="Verdana" w:hAnsi="Verdana"/>
                <w:sz w:val="16"/>
              </w:rPr>
              <w:t xml:space="preserve"> High quality learning </w:t>
            </w:r>
          </w:p>
        </w:tc>
        <w:tc>
          <w:tcPr>
            <w:tcW w:w="444" w:type="dxa"/>
            <w:textDirection w:val="btLr"/>
          </w:tcPr>
          <w:p w14:paraId="70A84E06" w14:textId="77777777" w:rsidR="00B74D78" w:rsidRPr="003207A4" w:rsidRDefault="00B74D78" w:rsidP="003207A4">
            <w:pPr>
              <w:pStyle w:val="Tabletext"/>
              <w:spacing w:before="120" w:after="120"/>
              <w:jc w:val="left"/>
              <w:rPr>
                <w:rFonts w:ascii="Verdana" w:hAnsi="Verdana"/>
                <w:sz w:val="16"/>
              </w:rPr>
            </w:pPr>
            <w:r w:rsidRPr="003207A4">
              <w:rPr>
                <w:rFonts w:ascii="Verdana" w:hAnsi="Verdana"/>
                <w:sz w:val="16"/>
              </w:rPr>
              <w:t xml:space="preserve"> Coherent policy </w:t>
            </w:r>
          </w:p>
        </w:tc>
        <w:tc>
          <w:tcPr>
            <w:tcW w:w="1686" w:type="dxa"/>
          </w:tcPr>
          <w:p w14:paraId="03C62E39" w14:textId="77777777" w:rsidR="00B74D78" w:rsidRPr="00B74D78" w:rsidRDefault="00B74D78" w:rsidP="00F41B98">
            <w:pPr>
              <w:pStyle w:val="Tabletext"/>
              <w:rPr>
                <w:rFonts w:ascii="Verdana" w:hAnsi="Verdana"/>
              </w:rPr>
            </w:pPr>
          </w:p>
        </w:tc>
      </w:tr>
      <w:tr w:rsidR="00B74D78" w:rsidRPr="00863BFF" w14:paraId="44407248" w14:textId="77777777" w:rsidTr="003207A4">
        <w:tc>
          <w:tcPr>
            <w:tcW w:w="1529" w:type="dxa"/>
          </w:tcPr>
          <w:p w14:paraId="3435E23A" w14:textId="77777777" w:rsidR="00B74D78" w:rsidRPr="00B74D78" w:rsidRDefault="00B74D78" w:rsidP="00F41B98">
            <w:pPr>
              <w:pStyle w:val="Tabletext"/>
              <w:rPr>
                <w:rFonts w:ascii="Verdana" w:hAnsi="Verdana"/>
              </w:rPr>
            </w:pPr>
            <w:r w:rsidRPr="00B74D78">
              <w:rPr>
                <w:rFonts w:ascii="Verdana" w:hAnsi="Verdana"/>
              </w:rPr>
              <w:t>Iniciativa Novas Oportunidades</w:t>
            </w:r>
          </w:p>
          <w:p w14:paraId="123496FA" w14:textId="77777777" w:rsidR="00B74D78" w:rsidRPr="00B74D78" w:rsidRDefault="00B74D78" w:rsidP="00F41B98">
            <w:pPr>
              <w:pStyle w:val="Tabletext"/>
              <w:rPr>
                <w:rFonts w:ascii="Verdana" w:hAnsi="Verdana"/>
              </w:rPr>
            </w:pPr>
          </w:p>
        </w:tc>
        <w:tc>
          <w:tcPr>
            <w:tcW w:w="6101" w:type="dxa"/>
          </w:tcPr>
          <w:p w14:paraId="0690A860" w14:textId="77777777" w:rsidR="00B74D78" w:rsidRPr="00B74D78" w:rsidRDefault="00F32E15" w:rsidP="00F41B98">
            <w:pPr>
              <w:pStyle w:val="Tabletext"/>
              <w:rPr>
                <w:rFonts w:ascii="Verdana" w:hAnsi="Verdana"/>
              </w:rPr>
            </w:pPr>
            <w:hyperlink r:id="rId25" w:history="1">
              <w:r w:rsidR="00B74D78" w:rsidRPr="00B74D78">
                <w:rPr>
                  <w:rFonts w:ascii="Verdana" w:hAnsi="Verdana"/>
                </w:rPr>
                <w:t>http://www.catalogo.anqep.gov.pt/boDocumentos/getDocumentos/149</w:t>
              </w:r>
            </w:hyperlink>
            <w:r w:rsidR="00B74D78" w:rsidRPr="00B74D78">
              <w:rPr>
                <w:rFonts w:ascii="Verdana" w:hAnsi="Verdana"/>
              </w:rPr>
              <w:t xml:space="preserve"> </w:t>
            </w:r>
          </w:p>
        </w:tc>
        <w:tc>
          <w:tcPr>
            <w:tcW w:w="1011" w:type="dxa"/>
          </w:tcPr>
          <w:p w14:paraId="76981D26" w14:textId="77777777" w:rsidR="00B74D78" w:rsidRPr="00B74D78" w:rsidRDefault="00B74D78" w:rsidP="00F41B98">
            <w:pPr>
              <w:pStyle w:val="Tabletext"/>
              <w:rPr>
                <w:rFonts w:ascii="Verdana" w:hAnsi="Verdana"/>
              </w:rPr>
            </w:pPr>
            <w:r w:rsidRPr="00B74D78">
              <w:rPr>
                <w:rFonts w:ascii="Verdana" w:hAnsi="Verdana"/>
              </w:rPr>
              <w:t>€3,200 million</w:t>
            </w:r>
          </w:p>
        </w:tc>
        <w:tc>
          <w:tcPr>
            <w:tcW w:w="937" w:type="dxa"/>
          </w:tcPr>
          <w:p w14:paraId="44A33670" w14:textId="77777777" w:rsidR="00B74D78" w:rsidRPr="00B74D78" w:rsidRDefault="00B74D78" w:rsidP="00F41B98">
            <w:pPr>
              <w:pStyle w:val="Tabletext"/>
              <w:rPr>
                <w:rFonts w:ascii="Verdana" w:hAnsi="Verdana"/>
              </w:rPr>
            </w:pPr>
            <w:r w:rsidRPr="00B74D78">
              <w:rPr>
                <w:rFonts w:ascii="Verdana" w:hAnsi="Verdana"/>
              </w:rPr>
              <w:t>More than 500,000 adult learners certified</w:t>
            </w:r>
          </w:p>
        </w:tc>
        <w:tc>
          <w:tcPr>
            <w:tcW w:w="444" w:type="dxa"/>
          </w:tcPr>
          <w:p w14:paraId="446C3570" w14:textId="77777777" w:rsidR="00B74D78" w:rsidRPr="00B74D78" w:rsidRDefault="00B74D78" w:rsidP="00F41B98">
            <w:pPr>
              <w:pStyle w:val="Tabletext"/>
              <w:rPr>
                <w:rFonts w:ascii="Verdana" w:hAnsi="Verdana"/>
              </w:rPr>
            </w:pPr>
            <w:r w:rsidRPr="00B74D78">
              <w:rPr>
                <w:rFonts w:ascii="Verdana" w:hAnsi="Verdana"/>
              </w:rPr>
              <w:t>X</w:t>
            </w:r>
          </w:p>
        </w:tc>
        <w:tc>
          <w:tcPr>
            <w:tcW w:w="444" w:type="dxa"/>
          </w:tcPr>
          <w:p w14:paraId="064ADFDC" w14:textId="77777777" w:rsidR="00B74D78" w:rsidRPr="00B74D78" w:rsidRDefault="00B74D78" w:rsidP="00F41B98">
            <w:pPr>
              <w:pStyle w:val="Tabletext"/>
              <w:rPr>
                <w:rFonts w:ascii="Verdana" w:hAnsi="Verdana"/>
              </w:rPr>
            </w:pPr>
          </w:p>
        </w:tc>
        <w:tc>
          <w:tcPr>
            <w:tcW w:w="444" w:type="dxa"/>
          </w:tcPr>
          <w:p w14:paraId="017AAA0E" w14:textId="77777777" w:rsidR="00B74D78" w:rsidRPr="00B74D78" w:rsidRDefault="00B74D78" w:rsidP="00F41B98">
            <w:pPr>
              <w:pStyle w:val="Tabletext"/>
              <w:rPr>
                <w:rFonts w:ascii="Verdana" w:hAnsi="Verdana"/>
              </w:rPr>
            </w:pPr>
            <w:r w:rsidRPr="00B74D78">
              <w:rPr>
                <w:rFonts w:ascii="Verdana" w:hAnsi="Verdana"/>
              </w:rPr>
              <w:t>X</w:t>
            </w:r>
          </w:p>
        </w:tc>
        <w:tc>
          <w:tcPr>
            <w:tcW w:w="444" w:type="dxa"/>
          </w:tcPr>
          <w:p w14:paraId="59DA983A" w14:textId="77777777" w:rsidR="00B74D78" w:rsidRPr="00B74D78" w:rsidRDefault="00B74D78" w:rsidP="00F41B98">
            <w:pPr>
              <w:pStyle w:val="Tabletext"/>
              <w:rPr>
                <w:rFonts w:ascii="Verdana" w:hAnsi="Verdana"/>
              </w:rPr>
            </w:pPr>
            <w:r w:rsidRPr="00B74D78">
              <w:rPr>
                <w:rFonts w:ascii="Verdana" w:hAnsi="Verdana"/>
              </w:rPr>
              <w:t>X</w:t>
            </w:r>
          </w:p>
        </w:tc>
        <w:tc>
          <w:tcPr>
            <w:tcW w:w="444" w:type="dxa"/>
          </w:tcPr>
          <w:p w14:paraId="320ECB4E" w14:textId="77777777" w:rsidR="00B74D78" w:rsidRPr="00B74D78" w:rsidRDefault="00B74D78" w:rsidP="00F41B98">
            <w:pPr>
              <w:pStyle w:val="Tabletext"/>
              <w:rPr>
                <w:rFonts w:ascii="Verdana" w:hAnsi="Verdana"/>
              </w:rPr>
            </w:pPr>
            <w:r w:rsidRPr="00B74D78">
              <w:rPr>
                <w:rFonts w:ascii="Verdana" w:hAnsi="Verdana"/>
              </w:rPr>
              <w:t>X</w:t>
            </w:r>
          </w:p>
        </w:tc>
        <w:tc>
          <w:tcPr>
            <w:tcW w:w="444" w:type="dxa"/>
          </w:tcPr>
          <w:p w14:paraId="7C9A334B" w14:textId="77777777" w:rsidR="00B74D78" w:rsidRPr="00B74D78" w:rsidRDefault="00B74D78" w:rsidP="00F41B98">
            <w:pPr>
              <w:pStyle w:val="Tabletext"/>
              <w:rPr>
                <w:rFonts w:ascii="Verdana" w:hAnsi="Verdana"/>
              </w:rPr>
            </w:pPr>
          </w:p>
        </w:tc>
        <w:tc>
          <w:tcPr>
            <w:tcW w:w="1686" w:type="dxa"/>
          </w:tcPr>
          <w:p w14:paraId="42AEBAC8" w14:textId="77777777" w:rsidR="00B74D78" w:rsidRPr="00B74D78" w:rsidRDefault="00B74D78" w:rsidP="00F41B98">
            <w:pPr>
              <w:pStyle w:val="Tabletext"/>
              <w:rPr>
                <w:rFonts w:ascii="Verdana" w:hAnsi="Verdana"/>
              </w:rPr>
            </w:pPr>
          </w:p>
        </w:tc>
      </w:tr>
    </w:tbl>
    <w:p w14:paraId="4B077148" w14:textId="77777777" w:rsidR="003207A4" w:rsidRDefault="003207A4" w:rsidP="00F41B98">
      <w:pPr>
        <w:pStyle w:val="Tabletext"/>
        <w:rPr>
          <w:rFonts w:ascii="Verdana" w:hAnsi="Verdana"/>
        </w:rPr>
        <w:sectPr w:rsidR="003207A4" w:rsidSect="006674B3">
          <w:headerReference w:type="first" r:id="rId26"/>
          <w:footerReference w:type="first" r:id="rId27"/>
          <w:pgSz w:w="16838" w:h="11906" w:orient="landscape" w:code="9"/>
          <w:pgMar w:top="1440" w:right="1440" w:bottom="1440" w:left="1440" w:header="567" w:footer="567" w:gutter="0"/>
          <w:cols w:space="708"/>
          <w:docGrid w:linePitch="360"/>
        </w:sectPr>
      </w:pPr>
    </w:p>
    <w:bookmarkEnd w:id="0"/>
    <w:p w14:paraId="2903103B" w14:textId="77777777" w:rsidR="003207A4" w:rsidRDefault="003207A4" w:rsidP="003207A4">
      <w:pPr>
        <w:rPr>
          <w:rFonts w:ascii="Verdana" w:hAnsi="Verdana"/>
          <w:sz w:val="16"/>
          <w:szCs w:val="16"/>
          <w:lang w:val="en-GB"/>
        </w:rPr>
      </w:pPr>
    </w:p>
    <w:p w14:paraId="759268B1" w14:textId="77777777" w:rsidR="003207A4" w:rsidRPr="00AA4227" w:rsidRDefault="003207A4" w:rsidP="003207A4">
      <w:pPr>
        <w:pBdr>
          <w:top w:val="single" w:sz="4" w:space="6" w:color="auto"/>
          <w:left w:val="single" w:sz="4" w:space="6" w:color="auto"/>
          <w:bottom w:val="single" w:sz="4" w:space="6" w:color="auto"/>
          <w:right w:val="single" w:sz="4" w:space="6" w:color="auto"/>
        </w:pBdr>
        <w:jc w:val="center"/>
        <w:rPr>
          <w:rFonts w:ascii="Verdana" w:hAnsi="Verdana" w:cs="Arial"/>
          <w:b/>
          <w:snapToGrid w:val="0"/>
          <w:color w:val="000000"/>
          <w:szCs w:val="24"/>
          <w:lang w:val="en-GB"/>
        </w:rPr>
      </w:pPr>
      <w:bookmarkStart w:id="55" w:name="OLE_LINK1"/>
      <w:bookmarkStart w:id="56" w:name="OLE_LINK34"/>
      <w:r w:rsidRPr="00AA4227">
        <w:rPr>
          <w:rFonts w:ascii="Verdana" w:hAnsi="Verdana" w:cs="Arial"/>
          <w:b/>
          <w:szCs w:val="24"/>
          <w:lang w:val="en-GB"/>
        </w:rPr>
        <w:t>HOW TO OBTAIN EU PUBLICATIONS</w:t>
      </w:r>
    </w:p>
    <w:bookmarkEnd w:id="55"/>
    <w:bookmarkEnd w:id="56"/>
    <w:p w14:paraId="0CC75686" w14:textId="77777777" w:rsidR="003207A4" w:rsidRPr="00AA4227" w:rsidRDefault="003207A4" w:rsidP="003207A4">
      <w:pPr>
        <w:pBdr>
          <w:top w:val="single" w:sz="4" w:space="6" w:color="auto"/>
          <w:left w:val="single" w:sz="4" w:space="6" w:color="auto"/>
          <w:bottom w:val="single" w:sz="4" w:space="6" w:color="auto"/>
          <w:right w:val="single" w:sz="4" w:space="6" w:color="auto"/>
        </w:pBdr>
        <w:spacing w:before="300"/>
        <w:rPr>
          <w:rFonts w:ascii="Verdana" w:hAnsi="Verdana" w:cs="Arial"/>
          <w:b/>
          <w:bCs/>
          <w:color w:val="000000"/>
          <w:sz w:val="20"/>
          <w:lang w:val="en-GB"/>
        </w:rPr>
      </w:pPr>
      <w:r w:rsidRPr="00AA4227">
        <w:rPr>
          <w:rFonts w:ascii="Verdana" w:hAnsi="Verdana" w:cs="Arial"/>
          <w:b/>
          <w:color w:val="000000"/>
          <w:sz w:val="20"/>
          <w:lang w:val="en-GB"/>
        </w:rPr>
        <w:t>Free publications</w:t>
      </w:r>
      <w:r w:rsidRPr="00AA4227">
        <w:rPr>
          <w:rFonts w:ascii="Verdana" w:hAnsi="Verdana" w:cs="Arial"/>
          <w:b/>
          <w:bCs/>
          <w:color w:val="000000"/>
          <w:sz w:val="20"/>
          <w:lang w:val="en-GB"/>
        </w:rPr>
        <w:t>:</w:t>
      </w:r>
    </w:p>
    <w:p w14:paraId="564F0ED9" w14:textId="77777777" w:rsidR="003207A4" w:rsidRPr="00AA4227" w:rsidRDefault="003207A4" w:rsidP="003207A4">
      <w:pPr>
        <w:pBdr>
          <w:top w:val="single" w:sz="4" w:space="6" w:color="auto"/>
          <w:left w:val="single" w:sz="4" w:space="6" w:color="auto"/>
          <w:bottom w:val="single" w:sz="4" w:space="6" w:color="auto"/>
          <w:right w:val="single" w:sz="4" w:space="6" w:color="auto"/>
        </w:pBdr>
        <w:spacing w:before="120"/>
        <w:ind w:left="284" w:hanging="284"/>
        <w:jc w:val="left"/>
        <w:rPr>
          <w:rFonts w:ascii="Verdana" w:hAnsi="Verdana" w:cs="Arial"/>
          <w:bCs/>
          <w:color w:val="000000"/>
          <w:sz w:val="20"/>
          <w:lang w:val="en-GB"/>
        </w:rPr>
      </w:pPr>
      <w:r w:rsidRPr="00AA4227">
        <w:rPr>
          <w:rFonts w:ascii="Verdana" w:hAnsi="Verdana" w:cs="Arial"/>
          <w:color w:val="000000"/>
          <w:sz w:val="20"/>
          <w:lang w:val="bg-BG"/>
        </w:rPr>
        <w:t>•</w:t>
      </w:r>
      <w:r w:rsidRPr="00AA4227">
        <w:rPr>
          <w:rFonts w:ascii="Verdana" w:hAnsi="Verdana" w:cs="Arial"/>
          <w:bCs/>
          <w:color w:val="000000"/>
          <w:sz w:val="20"/>
          <w:lang w:val="en-GB"/>
        </w:rPr>
        <w:tab/>
        <w:t>one copy:</w:t>
      </w:r>
      <w:r w:rsidRPr="00AA4227">
        <w:rPr>
          <w:rFonts w:ascii="Verdana" w:hAnsi="Verdana" w:cs="Arial"/>
          <w:bCs/>
          <w:color w:val="000000"/>
          <w:sz w:val="20"/>
          <w:lang w:val="en-GB"/>
        </w:rPr>
        <w:br/>
      </w:r>
      <w:r w:rsidRPr="00AA4227">
        <w:rPr>
          <w:rFonts w:ascii="Verdana" w:hAnsi="Verdana" w:cs="Arial"/>
          <w:color w:val="000000"/>
          <w:sz w:val="20"/>
          <w:lang w:val="en-GB"/>
        </w:rPr>
        <w:t>via EU Bookshop (http://bookshop.europa.eu)</w:t>
      </w:r>
      <w:r w:rsidRPr="00AA4227">
        <w:rPr>
          <w:rFonts w:ascii="Verdana" w:hAnsi="Verdana" w:cs="Arial"/>
          <w:bCs/>
          <w:color w:val="000000"/>
          <w:sz w:val="20"/>
          <w:lang w:val="en-GB"/>
        </w:rPr>
        <w:t>;</w:t>
      </w:r>
    </w:p>
    <w:p w14:paraId="31F96F34" w14:textId="77777777" w:rsidR="003207A4" w:rsidRPr="00AA4227" w:rsidRDefault="003207A4" w:rsidP="003207A4">
      <w:pPr>
        <w:pBdr>
          <w:top w:val="single" w:sz="4" w:space="6" w:color="auto"/>
          <w:left w:val="single" w:sz="4" w:space="6" w:color="auto"/>
          <w:bottom w:val="single" w:sz="4" w:space="6" w:color="auto"/>
          <w:right w:val="single" w:sz="4" w:space="6" w:color="auto"/>
        </w:pBdr>
        <w:spacing w:before="120"/>
        <w:ind w:left="284" w:hanging="284"/>
        <w:jc w:val="left"/>
        <w:rPr>
          <w:rFonts w:ascii="Verdana" w:hAnsi="Verdana" w:cs="Arial"/>
          <w:snapToGrid w:val="0"/>
          <w:color w:val="000000"/>
          <w:sz w:val="22"/>
          <w:szCs w:val="22"/>
          <w:lang w:val="en-GB"/>
        </w:rPr>
      </w:pPr>
      <w:r w:rsidRPr="00AA4227">
        <w:rPr>
          <w:rFonts w:ascii="Verdana" w:hAnsi="Verdana" w:cs="Arial"/>
          <w:color w:val="000000"/>
          <w:sz w:val="20"/>
          <w:lang w:val="bg-BG"/>
        </w:rPr>
        <w:t>•</w:t>
      </w:r>
      <w:r w:rsidRPr="00AA4227">
        <w:rPr>
          <w:rFonts w:ascii="Verdana" w:hAnsi="Verdana" w:cs="Arial"/>
          <w:bCs/>
          <w:color w:val="000000"/>
          <w:sz w:val="20"/>
          <w:lang w:val="en-GB"/>
        </w:rPr>
        <w:tab/>
        <w:t>more than one copy or posters/maps:</w:t>
      </w:r>
      <w:r w:rsidRPr="00AA4227">
        <w:rPr>
          <w:rFonts w:ascii="Verdana" w:hAnsi="Verdana" w:cs="Arial"/>
          <w:bCs/>
          <w:color w:val="000000"/>
          <w:sz w:val="20"/>
          <w:lang w:val="en-GB"/>
        </w:rPr>
        <w:br/>
      </w:r>
      <w:r w:rsidRPr="00AA4227">
        <w:rPr>
          <w:rFonts w:ascii="Verdana" w:hAnsi="Verdana" w:cs="Arial"/>
          <w:color w:val="000000"/>
          <w:sz w:val="20"/>
          <w:lang w:val="en-GB"/>
        </w:rPr>
        <w:t xml:space="preserve">from the European Union’s representations (http://ec.europa.eu/represent_en.htm); </w:t>
      </w:r>
      <w:r w:rsidRPr="00AA4227">
        <w:rPr>
          <w:rFonts w:ascii="Verdana" w:hAnsi="Verdana" w:cs="Arial"/>
          <w:color w:val="000000"/>
          <w:sz w:val="20"/>
          <w:lang w:val="en-GB"/>
        </w:rPr>
        <w:br/>
      </w:r>
      <w:r w:rsidRPr="00AA4227">
        <w:rPr>
          <w:rFonts w:ascii="Verdana" w:hAnsi="Verdana" w:cs="Arial"/>
          <w:color w:val="000000"/>
          <w:spacing w:val="-4"/>
          <w:sz w:val="20"/>
          <w:lang w:val="en-GB"/>
        </w:rPr>
        <w:t xml:space="preserve">from the delegations in non-EU countries (http://eeas.europa.eu/delegations/index_en.htm); </w:t>
      </w:r>
      <w:r w:rsidRPr="00AA4227">
        <w:rPr>
          <w:rFonts w:ascii="Verdana" w:hAnsi="Verdana" w:cs="Arial"/>
          <w:color w:val="000000"/>
          <w:spacing w:val="-4"/>
          <w:sz w:val="20"/>
          <w:lang w:val="en-GB"/>
        </w:rPr>
        <w:br/>
      </w:r>
      <w:r w:rsidRPr="00AA4227">
        <w:rPr>
          <w:rFonts w:ascii="Verdana" w:hAnsi="Verdana" w:cs="Arial"/>
          <w:color w:val="000000"/>
          <w:sz w:val="20"/>
          <w:lang w:val="en-GB"/>
        </w:rPr>
        <w:t>by contacting the Europe Direct service (http://europa.e</w:t>
      </w:r>
      <w:r>
        <w:rPr>
          <w:rFonts w:ascii="Verdana" w:hAnsi="Verdana" w:cs="Arial"/>
          <w:color w:val="000000"/>
          <w:sz w:val="20"/>
          <w:lang w:val="en-GB"/>
        </w:rPr>
        <w:t xml:space="preserve">u/europedirect/index_en.htm) or </w:t>
      </w:r>
      <w:r w:rsidRPr="00AA4227">
        <w:rPr>
          <w:rFonts w:ascii="Verdana" w:hAnsi="Verdana" w:cs="Arial"/>
          <w:color w:val="000000"/>
          <w:sz w:val="20"/>
          <w:lang w:val="en-GB"/>
        </w:rPr>
        <w:t>calling 00 800 6 7 8 9 10 11 (freephone number from anywhere in the EU) (*).</w:t>
      </w:r>
      <w:r w:rsidRPr="00AA4227">
        <w:rPr>
          <w:rFonts w:ascii="Verdana" w:hAnsi="Verdana" w:cs="Arial"/>
          <w:bCs/>
          <w:color w:val="000000"/>
          <w:sz w:val="20"/>
          <w:lang w:val="en-GB"/>
        </w:rPr>
        <w:br/>
      </w:r>
      <w:r w:rsidRPr="00AA4227">
        <w:rPr>
          <w:rFonts w:ascii="Verdana" w:hAnsi="Verdana" w:cs="Arial"/>
          <w:sz w:val="16"/>
          <w:szCs w:val="16"/>
          <w:lang w:val="en-GB"/>
        </w:rPr>
        <w:br/>
      </w:r>
      <w:hyperlink r:id="rId28" w:anchor="note1#note1" w:tooltip="Back to the text" w:history="1">
        <w:r w:rsidRPr="00AA4227">
          <w:rPr>
            <w:rFonts w:ascii="Verdana" w:hAnsi="Verdana" w:cs="Arial"/>
            <w:sz w:val="16"/>
            <w:szCs w:val="16"/>
            <w:lang w:val="en-GB"/>
          </w:rPr>
          <w:t>(*)</w:t>
        </w:r>
      </w:hyperlink>
      <w:r w:rsidRPr="00AA4227">
        <w:rPr>
          <w:rFonts w:ascii="Verdana" w:hAnsi="Verdana" w:cs="Arial"/>
          <w:sz w:val="16"/>
          <w:szCs w:val="16"/>
          <w:lang w:val="en-GB"/>
        </w:rPr>
        <w:tab/>
        <w:t>The information given is free, as are most calls (though some operators, phone boxes or hotels may charge you).</w:t>
      </w:r>
    </w:p>
    <w:p w14:paraId="492BE599" w14:textId="77777777" w:rsidR="003207A4" w:rsidRPr="00AA4227" w:rsidRDefault="003207A4" w:rsidP="003207A4">
      <w:pPr>
        <w:pBdr>
          <w:top w:val="single" w:sz="4" w:space="6" w:color="auto"/>
          <w:left w:val="single" w:sz="4" w:space="6" w:color="auto"/>
          <w:bottom w:val="single" w:sz="4" w:space="6" w:color="auto"/>
          <w:right w:val="single" w:sz="4" w:space="6" w:color="auto"/>
        </w:pBdr>
        <w:spacing w:before="300"/>
        <w:jc w:val="left"/>
        <w:rPr>
          <w:rFonts w:ascii="Verdana" w:hAnsi="Verdana" w:cs="Arial"/>
          <w:b/>
          <w:bCs/>
          <w:color w:val="000000"/>
          <w:sz w:val="20"/>
          <w:lang w:val="en-GB"/>
        </w:rPr>
      </w:pPr>
      <w:r w:rsidRPr="00AA4227">
        <w:rPr>
          <w:rFonts w:ascii="Verdana" w:hAnsi="Verdana" w:cs="Arial"/>
          <w:b/>
          <w:color w:val="000000"/>
          <w:sz w:val="20"/>
          <w:lang w:val="en-GB"/>
        </w:rPr>
        <w:t>Priced publications</w:t>
      </w:r>
      <w:r w:rsidRPr="00AA4227">
        <w:rPr>
          <w:rFonts w:ascii="Verdana" w:hAnsi="Verdana" w:cs="Arial"/>
          <w:b/>
          <w:bCs/>
          <w:color w:val="000000"/>
          <w:sz w:val="20"/>
          <w:lang w:val="en-GB"/>
        </w:rPr>
        <w:t>:</w:t>
      </w:r>
    </w:p>
    <w:p w14:paraId="3413F1E7" w14:textId="77777777" w:rsidR="003207A4" w:rsidRPr="00AA4227" w:rsidRDefault="003207A4" w:rsidP="003207A4">
      <w:pPr>
        <w:pBdr>
          <w:top w:val="single" w:sz="4" w:space="6" w:color="auto"/>
          <w:left w:val="single" w:sz="4" w:space="6" w:color="auto"/>
          <w:bottom w:val="single" w:sz="4" w:space="6" w:color="auto"/>
          <w:right w:val="single" w:sz="4" w:space="6" w:color="auto"/>
        </w:pBdr>
        <w:spacing w:before="120"/>
        <w:ind w:left="284" w:hanging="284"/>
        <w:jc w:val="left"/>
        <w:rPr>
          <w:rFonts w:ascii="Verdana" w:hAnsi="Verdana" w:cs="Arial"/>
          <w:bCs/>
          <w:color w:val="000000"/>
          <w:sz w:val="20"/>
          <w:lang w:val="en-GB"/>
        </w:rPr>
      </w:pPr>
      <w:r w:rsidRPr="00AA4227">
        <w:rPr>
          <w:rFonts w:ascii="Verdana" w:hAnsi="Verdana" w:cs="Arial"/>
          <w:color w:val="000000"/>
          <w:sz w:val="20"/>
          <w:lang w:val="bg-BG"/>
        </w:rPr>
        <w:t>•</w:t>
      </w:r>
      <w:r w:rsidRPr="00AA4227">
        <w:rPr>
          <w:rFonts w:ascii="Verdana" w:hAnsi="Verdana" w:cs="Arial"/>
          <w:bCs/>
          <w:color w:val="000000"/>
          <w:sz w:val="20"/>
          <w:lang w:val="en-GB"/>
        </w:rPr>
        <w:tab/>
      </w:r>
      <w:r w:rsidRPr="00AA4227">
        <w:rPr>
          <w:rFonts w:ascii="Verdana" w:hAnsi="Verdana" w:cs="Arial"/>
          <w:color w:val="000000"/>
          <w:sz w:val="20"/>
          <w:lang w:val="en-GB"/>
        </w:rPr>
        <w:t>via EU Bookshop (http://bookshop.europa.eu).</w:t>
      </w:r>
    </w:p>
    <w:p w14:paraId="7C340427" w14:textId="77777777" w:rsidR="003207A4" w:rsidRPr="00AA4227" w:rsidRDefault="003207A4" w:rsidP="003207A4">
      <w:pPr>
        <w:pBdr>
          <w:top w:val="single" w:sz="4" w:space="6" w:color="auto"/>
          <w:left w:val="single" w:sz="4" w:space="6" w:color="auto"/>
          <w:bottom w:val="single" w:sz="4" w:space="6" w:color="auto"/>
          <w:right w:val="single" w:sz="4" w:space="6" w:color="auto"/>
        </w:pBdr>
        <w:spacing w:before="300"/>
        <w:jc w:val="left"/>
        <w:rPr>
          <w:rFonts w:ascii="Verdana" w:hAnsi="Verdana" w:cs="Arial"/>
          <w:b/>
          <w:bCs/>
          <w:color w:val="000000"/>
          <w:sz w:val="20"/>
          <w:lang w:val="en-GB"/>
        </w:rPr>
      </w:pPr>
      <w:r w:rsidRPr="00AA4227">
        <w:rPr>
          <w:rFonts w:ascii="Verdana" w:hAnsi="Verdana" w:cs="Arial"/>
          <w:b/>
          <w:color w:val="000000"/>
          <w:sz w:val="20"/>
          <w:lang w:val="en-GB"/>
        </w:rPr>
        <w:t>Priced subscriptions</w:t>
      </w:r>
      <w:r w:rsidRPr="00AA4227">
        <w:rPr>
          <w:rFonts w:ascii="Verdana" w:hAnsi="Verdana" w:cs="Arial"/>
          <w:b/>
          <w:bCs/>
          <w:color w:val="000000"/>
          <w:sz w:val="20"/>
          <w:lang w:val="en-GB"/>
        </w:rPr>
        <w:t>:</w:t>
      </w:r>
    </w:p>
    <w:p w14:paraId="7290592E" w14:textId="77777777" w:rsidR="003207A4" w:rsidRPr="00AA4227" w:rsidRDefault="003207A4" w:rsidP="003207A4">
      <w:pPr>
        <w:pBdr>
          <w:top w:val="single" w:sz="4" w:space="6" w:color="auto"/>
          <w:left w:val="single" w:sz="4" w:space="6" w:color="auto"/>
          <w:bottom w:val="single" w:sz="4" w:space="6" w:color="auto"/>
          <w:right w:val="single" w:sz="4" w:space="6" w:color="auto"/>
        </w:pBdr>
        <w:spacing w:before="120"/>
        <w:ind w:left="284" w:hanging="284"/>
        <w:jc w:val="left"/>
        <w:rPr>
          <w:rFonts w:ascii="Verdana" w:hAnsi="Verdana" w:cs="Arial"/>
          <w:bCs/>
          <w:color w:val="000000"/>
          <w:sz w:val="22"/>
          <w:szCs w:val="22"/>
          <w:lang w:val="en-GB"/>
        </w:rPr>
      </w:pPr>
      <w:r w:rsidRPr="00AA4227">
        <w:rPr>
          <w:rFonts w:ascii="Verdana" w:hAnsi="Verdana" w:cs="Arial"/>
          <w:color w:val="000000"/>
          <w:sz w:val="22"/>
          <w:szCs w:val="22"/>
          <w:lang w:val="bg-BG"/>
        </w:rPr>
        <w:t>•</w:t>
      </w:r>
      <w:r w:rsidRPr="00AA4227">
        <w:rPr>
          <w:rFonts w:ascii="Verdana" w:hAnsi="Verdana" w:cs="Arial"/>
          <w:bCs/>
          <w:color w:val="000000"/>
          <w:sz w:val="22"/>
          <w:szCs w:val="22"/>
          <w:lang w:val="en-GB"/>
        </w:rPr>
        <w:tab/>
      </w:r>
      <w:r w:rsidRPr="00AA4227">
        <w:rPr>
          <w:rFonts w:ascii="Verdana" w:hAnsi="Verdana" w:cs="Arial"/>
          <w:color w:val="000000"/>
          <w:sz w:val="20"/>
          <w:lang w:val="en-GB"/>
        </w:rPr>
        <w:t>via one of the sales agents of the Publications Office of the European Union (http://publications.europa.eu/others/agents/index_en.htm).</w:t>
      </w:r>
    </w:p>
    <w:p w14:paraId="2F4D07D4" w14:textId="77777777" w:rsidR="003207A4" w:rsidRPr="00F32E15" w:rsidRDefault="003207A4" w:rsidP="003207A4">
      <w:pPr>
        <w:pStyle w:val="Body"/>
        <w:rPr>
          <w:lang w:val="en-GB"/>
        </w:rPr>
        <w:sectPr w:rsidR="003207A4" w:rsidRPr="00F32E15" w:rsidSect="003207A4">
          <w:headerReference w:type="default" r:id="rId29"/>
          <w:footerReference w:type="default" r:id="rId30"/>
          <w:pgSz w:w="11906" w:h="16838" w:code="9"/>
          <w:pgMar w:top="1440" w:right="1440" w:bottom="1440" w:left="1440" w:header="567" w:footer="567" w:gutter="0"/>
          <w:cols w:space="708"/>
          <w:docGrid w:linePitch="360"/>
        </w:sectPr>
      </w:pPr>
    </w:p>
    <w:p w14:paraId="420AE625" w14:textId="23B69A60" w:rsidR="00A8747A" w:rsidRPr="00F32E15" w:rsidRDefault="00A8747A" w:rsidP="003207A4">
      <w:pPr>
        <w:pStyle w:val="Body"/>
        <w:rPr>
          <w:lang w:val="en-GB"/>
        </w:rPr>
      </w:pPr>
      <w:bookmarkStart w:id="57" w:name="_GoBack"/>
      <w:bookmarkEnd w:id="57"/>
    </w:p>
    <w:sectPr w:rsidR="00A8747A" w:rsidRPr="00F32E15" w:rsidSect="003207A4">
      <w:headerReference w:type="default" r:id="rId31"/>
      <w:footerReference w:type="default" r:id="rId32"/>
      <w:pgSz w:w="11906" w:h="16838"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C116A" w14:textId="77777777" w:rsidR="00F41B98" w:rsidRDefault="00F41B98">
      <w:r>
        <w:separator/>
      </w:r>
    </w:p>
  </w:endnote>
  <w:endnote w:type="continuationSeparator" w:id="0">
    <w:p w14:paraId="13BAA391" w14:textId="77777777" w:rsidR="00F41B98" w:rsidRDefault="00F41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AE0D4" w14:textId="77777777" w:rsidR="00F41B98" w:rsidRPr="00F60DA3" w:rsidRDefault="00F41B98" w:rsidP="00CF0228">
    <w:pPr>
      <w:spacing w:after="0"/>
      <w:jc w:val="center"/>
      <w:rPr>
        <w:rFonts w:ascii="Verdana" w:hAnsi="Verdana"/>
        <w:b/>
        <w:sz w:val="18"/>
        <w:lang w:val="en-GB"/>
      </w:rPr>
    </w:pPr>
    <w:r w:rsidRPr="00F60DA3">
      <w:rPr>
        <w:rFonts w:ascii="Verdana" w:hAnsi="Verdana"/>
        <w:b/>
        <w:sz w:val="18"/>
        <w:lang w:val="en-GB"/>
      </w:rPr>
      <w:t>European Commission</w:t>
    </w:r>
  </w:p>
  <w:p w14:paraId="6906DBF8" w14:textId="24DFCB4E" w:rsidR="00F41B98" w:rsidRDefault="00F41B98" w:rsidP="00CF0228">
    <w:pPr>
      <w:spacing w:after="0"/>
      <w:jc w:val="center"/>
      <w:rPr>
        <w:rFonts w:ascii="Verdana" w:hAnsi="Verdana"/>
        <w:sz w:val="18"/>
        <w:lang w:val="en-GB"/>
      </w:rPr>
    </w:pPr>
    <w:r w:rsidRPr="00213AE8">
      <w:rPr>
        <w:rFonts w:ascii="Verdana" w:hAnsi="Verdana"/>
        <w:sz w:val="18"/>
        <w:lang w:val="en-GB"/>
      </w:rPr>
      <w:t>Directorate-General for</w:t>
    </w:r>
    <w:r>
      <w:rPr>
        <w:rFonts w:ascii="Verdana" w:hAnsi="Verdana"/>
        <w:sz w:val="18"/>
        <w:lang w:val="en-GB"/>
      </w:rPr>
      <w:t xml:space="preserve"> Employment Social Affairs and Inclusion</w:t>
    </w:r>
    <w:r w:rsidRPr="00213AE8">
      <w:rPr>
        <w:rFonts w:ascii="Verdana" w:hAnsi="Verdana"/>
        <w:color w:val="FF0000"/>
        <w:sz w:val="18"/>
        <w:lang w:val="en-GB"/>
      </w:rPr>
      <w:t xml:space="preserve"> </w:t>
    </w:r>
  </w:p>
  <w:p w14:paraId="6906DBF9" w14:textId="10326356" w:rsidR="00F41B98" w:rsidRPr="00213AE8" w:rsidRDefault="00F41B98" w:rsidP="00CF0228">
    <w:pPr>
      <w:spacing w:after="0"/>
      <w:jc w:val="center"/>
      <w:rPr>
        <w:rFonts w:ascii="Verdana" w:hAnsi="Verdana"/>
        <w:sz w:val="18"/>
        <w:lang w:val="en-GB"/>
      </w:rPr>
    </w:pPr>
    <w:r>
      <w:rPr>
        <w:rFonts w:ascii="Verdana" w:hAnsi="Verdana"/>
        <w:sz w:val="18"/>
        <w:lang w:val="en-GB"/>
      </w:rPr>
      <w:t xml:space="preserve">Directorate </w:t>
    </w:r>
    <w:r w:rsidRPr="009265D7">
      <w:rPr>
        <w:rFonts w:ascii="Verdana" w:hAnsi="Verdana"/>
        <w:color w:val="FF0000"/>
        <w:sz w:val="18"/>
        <w:lang w:val="en-GB"/>
      </w:rPr>
      <w:t>XXXX</w:t>
    </w:r>
  </w:p>
  <w:p w14:paraId="4046FD8A" w14:textId="77777777" w:rsidR="00F41B98" w:rsidRDefault="00F41B98">
    <w:pPr>
      <w:pStyle w:val="Footer"/>
      <w:rPr>
        <w:rFonts w:ascii="Verdana" w:hAnsi="Verdana"/>
        <w:lang w:val="en-GB"/>
      </w:rPr>
    </w:pPr>
    <w:r>
      <w:rPr>
        <w:rFonts w:ascii="Verdana" w:hAnsi="Verdana"/>
        <w:lang w:val="en-GB"/>
      </w:rPr>
      <w:tab/>
    </w:r>
    <w:r>
      <w:rPr>
        <w:rFonts w:ascii="Verdana" w:hAnsi="Verdana"/>
        <w:lang w:val="en-GB"/>
      </w:rPr>
      <w:tab/>
    </w:r>
    <w:r>
      <w:rPr>
        <w:rFonts w:ascii="Verdana" w:hAnsi="Verdana"/>
        <w:lang w:val="en-GB"/>
      </w:rPr>
      <w:tab/>
    </w:r>
  </w:p>
  <w:p w14:paraId="6906DBFA" w14:textId="180BFE7F" w:rsidR="00F41B98" w:rsidRPr="00290FEA" w:rsidRDefault="00F41B98">
    <w:pPr>
      <w:pStyle w:val="Footer"/>
      <w:rPr>
        <w:lang w:val="en-GB"/>
      </w:rPr>
    </w:pPr>
    <w:r>
      <w:rPr>
        <w:rFonts w:ascii="Verdana" w:hAnsi="Verdana"/>
        <w:lang w:val="en-GB"/>
      </w:rPr>
      <w:tab/>
    </w:r>
    <w:r>
      <w:rPr>
        <w:rFonts w:ascii="Verdana" w:hAnsi="Verdana"/>
        <w:lang w:val="en-GB"/>
      </w:rPr>
      <w:tab/>
    </w:r>
    <w:r>
      <w:rPr>
        <w:rFonts w:ascii="Verdana" w:hAnsi="Verdana"/>
        <w:lang w:val="en-GB"/>
      </w:rPr>
      <w:tab/>
    </w:r>
    <w:r>
      <w:rPr>
        <w:rFonts w:ascii="Verdana" w:hAnsi="Verdana"/>
        <w:lang w:val="en-GB"/>
      </w:rPr>
      <w:tab/>
    </w:r>
    <w:r>
      <w:rPr>
        <w:rFonts w:ascii="Verdana" w:hAnsi="Verdana"/>
        <w:lang w:val="en-GB"/>
      </w:rPr>
      <w:tab/>
    </w:r>
    <w:r>
      <w:rPr>
        <w:rFonts w:ascii="Verdana" w:hAnsi="Verdana"/>
        <w:lang w:val="en-GB"/>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6DBFC" w14:textId="6E846C28" w:rsidR="00F41B98" w:rsidRDefault="00F41B98" w:rsidP="00EA375A">
    <w:pPr>
      <w:pStyle w:val="FooterDate"/>
      <w:ind w:right="-1"/>
      <w:rPr>
        <w:rFonts w:cs="Arial"/>
        <w:sz w:val="18"/>
        <w:szCs w:val="18"/>
      </w:rPr>
    </w:pPr>
    <w:r>
      <w:rPr>
        <w:noProof/>
        <w:sz w:val="18"/>
        <w:szCs w:val="18"/>
        <w:lang w:val="en-GB" w:eastAsia="en-GB"/>
      </w:rPr>
      <mc:AlternateContent>
        <mc:Choice Requires="wps">
          <w:drawing>
            <wp:anchor distT="0" distB="0" distL="114300" distR="114300" simplePos="0" relativeHeight="251651584" behindDoc="0" locked="0" layoutInCell="1" allowOverlap="1" wp14:anchorId="6906DC10" wp14:editId="1AFEB22A">
              <wp:simplePos x="0" y="0"/>
              <wp:positionH relativeFrom="column">
                <wp:posOffset>4281170</wp:posOffset>
              </wp:positionH>
              <wp:positionV relativeFrom="margin">
                <wp:posOffset>9475470</wp:posOffset>
              </wp:positionV>
              <wp:extent cx="1438275" cy="561975"/>
              <wp:effectExtent l="4445" t="0" r="0" b="1905"/>
              <wp:wrapNone/>
              <wp:docPr id="1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561975"/>
                      </a:xfrm>
                      <a:prstGeom prst="rect">
                        <a:avLst/>
                      </a:prstGeom>
                      <a:noFill/>
                      <a:ln>
                        <a:noFill/>
                      </a:ln>
                      <a:extLst>
                        <a:ext uri="{909E8E84-426E-40DD-AFC4-6F175D3DCCD1}">
                          <a14:hiddenFill xmlns:a14="http://schemas.microsoft.com/office/drawing/2010/main">
                            <a:solidFill>
                              <a:srgbClr val="002395"/>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6DC1F" w14:textId="77777777" w:rsidR="00F41B98" w:rsidRPr="00696241" w:rsidRDefault="00F41B98" w:rsidP="00A92E21">
                          <w:pPr>
                            <w:pStyle w:val="FooterDate"/>
                            <w:ind w:right="-1"/>
                            <w:jc w:val="right"/>
                            <w:rPr>
                              <w:rFonts w:cs="Arial"/>
                              <w:szCs w:val="16"/>
                            </w:rPr>
                          </w:pPr>
                          <w:r w:rsidRPr="00696241">
                            <w:rPr>
                              <w:rFonts w:cs="Arial"/>
                              <w:szCs w:val="16"/>
                            </w:rPr>
                            <w:t xml:space="preserve">EUR </w:t>
                          </w:r>
                          <w:r w:rsidRPr="00696241">
                            <w:rPr>
                              <w:rFonts w:cs="Arial"/>
                              <w:color w:val="FF0000"/>
                              <w:szCs w:val="16"/>
                            </w:rPr>
                            <w:t xml:space="preserve">[number] </w:t>
                          </w:r>
                          <w:r w:rsidRPr="00696241">
                            <w:rPr>
                              <w:rFonts w:cs="Arial"/>
                              <w:szCs w:val="16"/>
                            </w:rPr>
                            <w:t>EN</w:t>
                          </w:r>
                        </w:p>
                        <w:p w14:paraId="6906DC20" w14:textId="77777777" w:rsidR="00F41B98" w:rsidRDefault="00F41B9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6DC10" id="_x0000_t202" coordsize="21600,21600" o:spt="202" path="m,l,21600r21600,l21600,xe">
              <v:stroke joinstyle="miter"/>
              <v:path gradientshapeok="t" o:connecttype="rect"/>
            </v:shapetype>
            <v:shape id="Text Box 75" o:spid="_x0000_s1026" type="#_x0000_t202" style="position:absolute;margin-left:337.1pt;margin-top:746.1pt;width:113.25pt;height:4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" filled="f" fillcolor="#002395" stroked="f">
              <v:textbox inset="0,0,0,0">
                <w:txbxContent>
                  <w:p w14:paraId="6906DC1F" w14:textId="77777777" w:rsidR="00F41B98" w:rsidRPr="00696241" w:rsidRDefault="00F41B98" w:rsidP="00A92E21">
                    <w:pPr>
                      <w:pStyle w:val="FooterDate"/>
                      <w:ind w:right="-1"/>
                      <w:jc w:val="right"/>
                      <w:rPr>
                        <w:rFonts w:cs="Arial"/>
                        <w:szCs w:val="16"/>
                      </w:rPr>
                    </w:pPr>
                    <w:r w:rsidRPr="00696241">
                      <w:rPr>
                        <w:rFonts w:cs="Arial"/>
                        <w:szCs w:val="16"/>
                      </w:rPr>
                      <w:t xml:space="preserve">EUR </w:t>
                    </w:r>
                    <w:r w:rsidRPr="00696241">
                      <w:rPr>
                        <w:rFonts w:cs="Arial"/>
                        <w:color w:val="FF0000"/>
                        <w:szCs w:val="16"/>
                      </w:rPr>
                      <w:t xml:space="preserve">[number] </w:t>
                    </w:r>
                    <w:r w:rsidRPr="00696241">
                      <w:rPr>
                        <w:rFonts w:cs="Arial"/>
                        <w:szCs w:val="16"/>
                      </w:rPr>
                      <w:t>EN</w:t>
                    </w:r>
                  </w:p>
                  <w:p w14:paraId="6906DC20" w14:textId="77777777" w:rsidR="00F41B98" w:rsidRDefault="00F41B98"/>
                </w:txbxContent>
              </v:textbox>
              <w10:wrap anchory="margin"/>
            </v:shape>
          </w:pict>
        </mc:Fallback>
      </mc:AlternateContent>
    </w:r>
  </w:p>
  <w:p w14:paraId="6906DBFD" w14:textId="1B091FDC" w:rsidR="00F41B98" w:rsidRDefault="00F32E15" w:rsidP="00EA375A">
    <w:pPr>
      <w:pStyle w:val="FooterDate"/>
      <w:ind w:right="-1"/>
      <w:rPr>
        <w:rFonts w:cs="Arial"/>
        <w:sz w:val="18"/>
        <w:szCs w:val="18"/>
      </w:rPr>
    </w:pPr>
    <w:r>
      <w:rPr>
        <w:rFonts w:cs="Arial"/>
        <w:sz w:val="18"/>
        <w:szCs w:val="18"/>
      </w:rPr>
      <w:t>Written by Paula Guimaraes</w:t>
    </w:r>
  </w:p>
  <w:p w14:paraId="6906DBFE" w14:textId="6F158D2C" w:rsidR="00F41B98" w:rsidRDefault="00F41B98" w:rsidP="00EA375A">
    <w:pPr>
      <w:pStyle w:val="FooterDate"/>
      <w:ind w:right="-1"/>
      <w:rPr>
        <w:rFonts w:cs="Arial"/>
        <w:sz w:val="18"/>
        <w:szCs w:val="18"/>
      </w:rPr>
    </w:pPr>
    <w:r>
      <w:rPr>
        <w:rFonts w:cs="Arial"/>
        <w:i/>
        <w:sz w:val="18"/>
        <w:szCs w:val="18"/>
      </w:rPr>
      <w:t xml:space="preserve">October </w:t>
    </w:r>
    <w:r w:rsidR="00F32E15">
      <w:rPr>
        <w:rFonts w:cs="Arial"/>
        <w:i/>
        <w:sz w:val="18"/>
        <w:szCs w:val="18"/>
      </w:rPr>
      <w:t xml:space="preserve">- </w:t>
    </w:r>
    <w:r>
      <w:rPr>
        <w:rFonts w:cs="Arial"/>
        <w:i/>
        <w:sz w:val="18"/>
        <w:szCs w:val="18"/>
      </w:rPr>
      <w:t>2017</w:t>
    </w:r>
  </w:p>
  <w:p w14:paraId="6906DBFF" w14:textId="69363736" w:rsidR="00F41B98" w:rsidRPr="001D2A51" w:rsidRDefault="00F41B98" w:rsidP="00EA375A">
    <w:pPr>
      <w:pStyle w:val="FooterDate"/>
      <w:ind w:right="-1"/>
      <w:rPr>
        <w:rFonts w:cs="Arial"/>
        <w:sz w:val="18"/>
        <w:szCs w:val="18"/>
      </w:rPr>
    </w:pPr>
    <w:r>
      <w:rPr>
        <w:noProof/>
        <w:sz w:val="18"/>
        <w:szCs w:val="18"/>
        <w:lang w:val="en-GB" w:eastAsia="en-GB"/>
      </w:rPr>
      <mc:AlternateContent>
        <mc:Choice Requires="wps">
          <w:drawing>
            <wp:anchor distT="0" distB="0" distL="114300" distR="114300" simplePos="0" relativeHeight="251655680" behindDoc="0" locked="0" layoutInCell="1" allowOverlap="1" wp14:anchorId="6906DC0E" wp14:editId="3805C1AF">
              <wp:simplePos x="0" y="0"/>
              <wp:positionH relativeFrom="margin">
                <wp:align>center</wp:align>
              </wp:positionH>
              <wp:positionV relativeFrom="margin">
                <wp:posOffset>8155305</wp:posOffset>
              </wp:positionV>
              <wp:extent cx="842645" cy="516890"/>
              <wp:effectExtent l="0" t="0" r="0" b="0"/>
              <wp:wrapSquare wrapText="bothSides"/>
              <wp:docPr id="1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516890"/>
                      </a:xfrm>
                      <a:prstGeom prst="rect">
                        <a:avLst/>
                      </a:prstGeom>
                      <a:solidFill>
                        <a:srgbClr val="0023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2FDE77" w14:textId="03618363" w:rsidR="00F41B98" w:rsidRPr="00016EF5" w:rsidRDefault="00F41B98" w:rsidP="00C25F7E">
                          <w:pPr>
                            <w:jc w:val="left"/>
                            <w:rPr>
                              <w:rFonts w:ascii="Verdana" w:hAnsi="Verdana"/>
                              <w:i/>
                              <w:sz w:val="16"/>
                              <w:szCs w:val="16"/>
                              <w:lang w:val="fr-BE"/>
                            </w:rPr>
                          </w:pPr>
                          <w:r w:rsidRPr="00016EF5">
                            <w:rPr>
                              <w:rFonts w:ascii="Verdana" w:hAnsi="Verdana"/>
                              <w:i/>
                              <w:sz w:val="16"/>
                              <w:szCs w:val="16"/>
                              <w:lang w:val="fr-BE"/>
                            </w:rPr>
                            <w:t>Social Europe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6DC0E" id="Rectangle 79" o:spid="_x0000_s1027" style="position:absolute;margin-left:0;margin-top:642.15pt;width:66.35pt;height:40.7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" fillcolor="#002395" stroked="f">
              <v:textbox>
                <w:txbxContent>
                  <w:p w14:paraId="7C2FDE77" w14:textId="03618363" w:rsidR="00F41B98" w:rsidRPr="00016EF5" w:rsidRDefault="00F41B98" w:rsidP="00C25F7E">
                    <w:pPr>
                      <w:jc w:val="left"/>
                      <w:rPr>
                        <w:rFonts w:ascii="Verdana" w:hAnsi="Verdana"/>
                        <w:i/>
                        <w:sz w:val="16"/>
                        <w:szCs w:val="16"/>
                        <w:lang w:val="fr-BE"/>
                      </w:rPr>
                    </w:pPr>
                    <w:r w:rsidRPr="00016EF5">
                      <w:rPr>
                        <w:rFonts w:ascii="Verdana" w:hAnsi="Verdana"/>
                        <w:i/>
                        <w:sz w:val="16"/>
                        <w:szCs w:val="16"/>
                        <w:lang w:val="fr-BE"/>
                      </w:rPr>
                      <w:t>Social Europe</w:t>
                    </w:r>
                  </w:p>
                </w:txbxContent>
              </v:textbox>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6DC01" w14:textId="77777777" w:rsidR="00F41B98" w:rsidRPr="006B26AA" w:rsidRDefault="00F41B98" w:rsidP="006B26AA">
    <w:pPr>
      <w:pStyle w:val="Footer"/>
      <w:rPr>
        <w:szCs w:val="1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2B6E5" w14:textId="77777777" w:rsidR="00F32E15" w:rsidRPr="00F60DA3" w:rsidRDefault="00F32E15" w:rsidP="00F32E15">
    <w:pPr>
      <w:spacing w:after="0"/>
      <w:jc w:val="center"/>
      <w:rPr>
        <w:rFonts w:ascii="Verdana" w:hAnsi="Verdana"/>
        <w:b/>
        <w:sz w:val="18"/>
        <w:lang w:val="en-GB"/>
      </w:rPr>
    </w:pPr>
    <w:r w:rsidRPr="00F60DA3">
      <w:rPr>
        <w:rFonts w:ascii="Verdana" w:hAnsi="Verdana"/>
        <w:b/>
        <w:sz w:val="18"/>
        <w:lang w:val="en-GB"/>
      </w:rPr>
      <w:t>European Commission</w:t>
    </w:r>
  </w:p>
  <w:p w14:paraId="51AF3792" w14:textId="77777777" w:rsidR="00F32E15" w:rsidRDefault="00F32E15" w:rsidP="00F32E15">
    <w:pPr>
      <w:spacing w:after="0"/>
      <w:jc w:val="center"/>
      <w:rPr>
        <w:rFonts w:ascii="Verdana" w:hAnsi="Verdana"/>
        <w:sz w:val="18"/>
        <w:lang w:val="en-GB"/>
      </w:rPr>
    </w:pPr>
    <w:r w:rsidRPr="00213AE8">
      <w:rPr>
        <w:rFonts w:ascii="Verdana" w:hAnsi="Verdana"/>
        <w:sz w:val="18"/>
        <w:lang w:val="en-GB"/>
      </w:rPr>
      <w:t>Directorate-General for</w:t>
    </w:r>
    <w:r>
      <w:rPr>
        <w:rFonts w:ascii="Verdana" w:hAnsi="Verdana"/>
        <w:sz w:val="18"/>
        <w:lang w:val="en-GB"/>
      </w:rPr>
      <w:t xml:space="preserve"> Employment Social Affairs and Inclusion</w:t>
    </w:r>
    <w:r w:rsidRPr="00213AE8">
      <w:rPr>
        <w:rFonts w:ascii="Verdana" w:hAnsi="Verdana"/>
        <w:color w:val="FF0000"/>
        <w:sz w:val="18"/>
        <w:lang w:val="en-GB"/>
      </w:rPr>
      <w:t xml:space="preserve"> </w:t>
    </w:r>
  </w:p>
  <w:p w14:paraId="49F3C7B6" w14:textId="77777777" w:rsidR="00F32E15" w:rsidRPr="008604E1" w:rsidRDefault="00F32E15" w:rsidP="00F32E15">
    <w:pPr>
      <w:spacing w:after="0"/>
      <w:jc w:val="center"/>
      <w:rPr>
        <w:rFonts w:ascii="Verdana" w:hAnsi="Verdana"/>
        <w:sz w:val="18"/>
        <w:lang w:val="en-GB"/>
      </w:rPr>
    </w:pPr>
    <w:r>
      <w:rPr>
        <w:rFonts w:ascii="Verdana" w:hAnsi="Verdana"/>
        <w:sz w:val="18"/>
        <w:lang w:val="en-GB"/>
      </w:rPr>
      <w:t xml:space="preserve">Directorate </w:t>
    </w:r>
    <w:r w:rsidRPr="00E946C7">
      <w:rPr>
        <w:rFonts w:ascii="Verdana" w:hAnsi="Verdana"/>
        <w:sz w:val="18"/>
        <w:lang w:val="en-GB"/>
      </w:rPr>
      <w:t>E</w:t>
    </w:r>
    <w:r>
      <w:rPr>
        <w:rFonts w:ascii="Verdana" w:hAnsi="Verdana"/>
        <w:sz w:val="18"/>
        <w:lang w:val="en-GB"/>
      </w:rPr>
      <w:t xml:space="preserve"> - Skills</w:t>
    </w:r>
  </w:p>
  <w:p w14:paraId="28416BA2" w14:textId="77777777" w:rsidR="00F32E15" w:rsidRPr="006B26AA" w:rsidRDefault="00F32E15" w:rsidP="00F32E15">
    <w:pPr>
      <w:pStyle w:val="Footer"/>
      <w:rPr>
        <w:szCs w:val="12"/>
      </w:rPr>
    </w:pPr>
    <w:r>
      <w:rPr>
        <w:szCs w:val="12"/>
      </w:rPr>
      <w:t>2018</w:t>
    </w:r>
  </w:p>
  <w:p w14:paraId="7A7CB54E" w14:textId="3E49BAA6" w:rsidR="00F41B98" w:rsidRDefault="00F41B98" w:rsidP="0012020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18B16" w14:textId="33C90F00" w:rsidR="00F32E15" w:rsidRDefault="00F32E15" w:rsidP="0012020F">
    <w:pPr>
      <w:pStyle w:val="Footer"/>
    </w:pPr>
    <w:r>
      <w:fldChar w:fldCharType="begin"/>
    </w:r>
    <w:r>
      <w:instrText xml:space="preserve"> page </w:instrText>
    </w:r>
    <w:r>
      <w:fldChar w:fldCharType="separate"/>
    </w:r>
    <w:r>
      <w:rPr>
        <w:noProof/>
      </w:rPr>
      <w:t>22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6DC08" w14:textId="67C0F5CB" w:rsidR="00F41B98" w:rsidRPr="00971E70" w:rsidRDefault="00F41B98" w:rsidP="00971E70">
    <w:pPr>
      <w:ind w:right="-1"/>
      <w:rPr>
        <w:rFonts w:ascii="Verdana" w:hAnsi="Verdana"/>
        <w:sz w:val="16"/>
        <w:szCs w:val="16"/>
        <w:lang w:val="en-GB"/>
      </w:rPr>
    </w:pPr>
    <w:r>
      <w:rPr>
        <w:rFonts w:ascii="Verdana" w:hAnsi="Verdana"/>
        <w:noProof/>
        <w:color w:val="FF0000"/>
        <w:szCs w:val="16"/>
        <w:lang w:val="en-GB" w:eastAsia="en-GB"/>
      </w:rPr>
      <w:drawing>
        <wp:inline distT="0" distB="0" distL="0" distR="0" wp14:anchorId="6906DC1C" wp14:editId="6906DC1D">
          <wp:extent cx="1291158" cy="611107"/>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cmyk.jpg"/>
                  <pic:cNvPicPr/>
                </pic:nvPicPr>
                <pic:blipFill>
                  <a:blip r:embed="rId1">
                    <a:extLst>
                      <a:ext uri="{28A0092B-C50C-407E-A947-70E740481C1C}">
                        <a14:useLocalDpi xmlns:a14="http://schemas.microsoft.com/office/drawing/2010/main" val="0"/>
                      </a:ext>
                    </a:extLst>
                  </a:blip>
                  <a:stretch>
                    <a:fillRect/>
                  </a:stretch>
                </pic:blipFill>
                <pic:spPr>
                  <a:xfrm>
                    <a:off x="0" y="0"/>
                    <a:ext cx="1292444" cy="611716"/>
                  </a:xfrm>
                  <a:prstGeom prst="rect">
                    <a:avLst/>
                  </a:prstGeom>
                </pic:spPr>
              </pic:pic>
            </a:graphicData>
          </a:graphic>
        </wp:inline>
      </w:drawing>
    </w:r>
    <w:r w:rsidRPr="00971E70">
      <w:rPr>
        <w:rFonts w:ascii="Verdana" w:hAnsi="Verdana"/>
        <w:sz w:val="16"/>
        <w:szCs w:val="16"/>
        <w:lang w:val="en-GB"/>
      </w:rPr>
      <w:t xml:space="preserve"> </w:t>
    </w:r>
    <w:r>
      <w:rPr>
        <w:rFonts w:ascii="Verdana" w:hAnsi="Verdana"/>
        <w:sz w:val="16"/>
        <w:szCs w:val="16"/>
        <w:lang w:val="en-GB"/>
      </w:rPr>
      <w:tab/>
    </w:r>
    <w:r>
      <w:rPr>
        <w:rFonts w:ascii="Verdana" w:hAnsi="Verdana"/>
        <w:sz w:val="16"/>
        <w:szCs w:val="16"/>
        <w:lang w:val="en-GB"/>
      </w:rPr>
      <w:tab/>
    </w:r>
    <w:r>
      <w:rPr>
        <w:rFonts w:ascii="Verdana" w:hAnsi="Verdana"/>
        <w:sz w:val="16"/>
        <w:szCs w:val="16"/>
        <w:lang w:val="en-GB"/>
      </w:rPr>
      <w:tab/>
    </w:r>
    <w:r>
      <w:rPr>
        <w:rFonts w:ascii="Verdana" w:hAnsi="Verdana"/>
        <w:sz w:val="16"/>
        <w:szCs w:val="16"/>
        <w:lang w:val="en-GB"/>
      </w:rPr>
      <w:tab/>
    </w:r>
    <w:r>
      <w:rPr>
        <w:rFonts w:ascii="Verdana" w:hAnsi="Verdana"/>
        <w:sz w:val="16"/>
        <w:szCs w:val="16"/>
        <w:lang w:val="en-GB"/>
      </w:rPr>
      <w:tab/>
    </w:r>
    <w:r>
      <w:rPr>
        <w:rFonts w:ascii="Verdana" w:hAnsi="Verdana"/>
        <w:sz w:val="16"/>
        <w:szCs w:val="16"/>
        <w:lang w:val="en-GB"/>
      </w:rPr>
      <w:tab/>
    </w:r>
    <w:r>
      <w:rPr>
        <w:rFonts w:ascii="Verdana" w:hAnsi="Verdana"/>
        <w:sz w:val="16"/>
        <w:szCs w:val="16"/>
        <w:lang w:val="en-GB"/>
      </w:rPr>
      <w:tab/>
      <w:t xml:space="preserve">    </w:t>
    </w:r>
    <w:r>
      <w:rPr>
        <w:rFonts w:ascii="Verdana" w:hAnsi="Verdana"/>
        <w:sz w:val="16"/>
        <w:szCs w:val="16"/>
        <w:lang w:val="en-GB"/>
      </w:rPr>
      <w:tab/>
    </w:r>
    <w:r w:rsidRPr="008604E1">
      <w:rPr>
        <w:rFonts w:ascii="Verdana" w:hAnsi="Verdana"/>
        <w:color w:val="000000" w:themeColor="text1"/>
        <w:sz w:val="16"/>
        <w:szCs w:val="16"/>
        <w:lang w:val="en-GB"/>
      </w:rPr>
      <w:t xml:space="preserve"> </w:t>
    </w:r>
    <w:proofErr w:type="gramStart"/>
    <w:r w:rsidRPr="008604E1">
      <w:rPr>
        <w:rFonts w:ascii="Verdana" w:hAnsi="Verdana"/>
        <w:color w:val="000000" w:themeColor="text1"/>
        <w:sz w:val="16"/>
        <w:szCs w:val="16"/>
        <w:lang w:val="en-GB"/>
      </w:rPr>
      <w:t>doi</w:t>
    </w:r>
    <w:proofErr w:type="gramEnd"/>
    <w:r w:rsidRPr="008604E1">
      <w:rPr>
        <w:rFonts w:ascii="Verdana" w:hAnsi="Verdana"/>
        <w:color w:val="000000" w:themeColor="text1"/>
        <w:sz w:val="16"/>
        <w:szCs w:val="16"/>
        <w:lang w:val="en-GB"/>
      </w:rPr>
      <w:t>:</w:t>
    </w:r>
  </w:p>
  <w:p w14:paraId="6906DC09" w14:textId="77777777" w:rsidR="00F41B98" w:rsidRPr="006B26AA" w:rsidRDefault="00F41B98" w:rsidP="006B26AA">
    <w:pPr>
      <w:pStyle w:val="Footer"/>
      <w:rPr>
        <w:szCs w:val="1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78931" w14:textId="3CF83720" w:rsidR="003207A4" w:rsidRDefault="003207A4" w:rsidP="0012020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3B687" w14:textId="6740092C" w:rsidR="003207A4" w:rsidRPr="00623ED0" w:rsidRDefault="003207A4" w:rsidP="003207A4">
    <w:pPr>
      <w:pStyle w:val="Header"/>
      <w:tabs>
        <w:tab w:val="left" w:pos="7513"/>
      </w:tabs>
      <w:spacing w:after="0"/>
      <w:jc w:val="center"/>
      <w:rPr>
        <w:noProof/>
        <w:lang w:val="en-GB" w:eastAsia="en-GB"/>
      </w:rPr>
    </w:pPr>
    <w:r>
      <w:rPr>
        <w:noProof/>
        <w:lang w:val="en-GB" w:eastAsia="en-GB"/>
      </w:rPr>
      <w:drawing>
        <wp:anchor distT="0" distB="0" distL="114300" distR="114300" simplePos="0" relativeHeight="251664896" behindDoc="1" locked="0" layoutInCell="1" allowOverlap="1" wp14:anchorId="029C5376" wp14:editId="6D345127">
          <wp:simplePos x="0" y="0"/>
          <wp:positionH relativeFrom="margin">
            <wp:posOffset>-913765</wp:posOffset>
          </wp:positionH>
          <wp:positionV relativeFrom="margin">
            <wp:posOffset>15817</wp:posOffset>
          </wp:positionV>
          <wp:extent cx="7868188" cy="8188036"/>
          <wp:effectExtent l="0" t="0" r="0" b="3810"/>
          <wp:wrapNone/>
          <wp:docPr id="5" name="Picture 1" descr="Description: Description: Description: C:\Documents and Settings\lenain\Local Settings\Temporary Internet Files\Content.Word\griff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Documents and Settings\lenain\Local Settings\Temporary Internet Files\Content.Word\griffe_2.jpg"/>
                  <pic:cNvPicPr>
                    <a:picLocks noChangeAspect="1" noChangeArrowheads="1"/>
                  </pic:cNvPicPr>
                </pic:nvPicPr>
                <pic:blipFill>
                  <a:blip r:embed="rId1"/>
                  <a:srcRect/>
                  <a:stretch>
                    <a:fillRect/>
                  </a:stretch>
                </pic:blipFill>
                <pic:spPr bwMode="auto">
                  <a:xfrm>
                    <a:off x="0" y="0"/>
                    <a:ext cx="7868188" cy="8188036"/>
                  </a:xfrm>
                  <a:prstGeom prst="rect">
                    <a:avLst/>
                  </a:prstGeom>
                  <a:noFill/>
                  <a:ln w="9525">
                    <a:noFill/>
                    <a:miter lim="800000"/>
                    <a:headEnd/>
                    <a:tailEnd/>
                  </a:ln>
                </pic:spPr>
              </pic:pic>
            </a:graphicData>
          </a:graphic>
          <wp14:sizeRelV relativeFrom="margin">
            <wp14:pctHeight>0</wp14:pctHeight>
          </wp14:sizeRelV>
        </wp:anchor>
      </w:drawing>
    </w:r>
  </w:p>
  <w:p w14:paraId="362E0E78" w14:textId="77777777" w:rsidR="003207A4" w:rsidRDefault="003207A4" w:rsidP="003207A4"/>
  <w:p w14:paraId="1FEDD8A1" w14:textId="08756C75" w:rsidR="003207A4" w:rsidRPr="00971E70" w:rsidRDefault="003207A4" w:rsidP="003207A4">
    <w:pPr>
      <w:ind w:right="-1"/>
      <w:rPr>
        <w:rFonts w:ascii="Verdana" w:hAnsi="Verdana"/>
        <w:sz w:val="16"/>
        <w:szCs w:val="16"/>
        <w:lang w:val="en-GB"/>
      </w:rPr>
    </w:pPr>
    <w:r>
      <w:rPr>
        <w:rFonts w:ascii="Verdana" w:hAnsi="Verdana"/>
        <w:noProof/>
        <w:color w:val="FF0000"/>
        <w:szCs w:val="16"/>
        <w:lang w:val="en-GB" w:eastAsia="en-GB"/>
      </w:rPr>
      <w:drawing>
        <wp:inline distT="0" distB="0" distL="0" distR="0" wp14:anchorId="3EC720CE" wp14:editId="78424830">
          <wp:extent cx="1291158" cy="611107"/>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cmyk.jpg"/>
                  <pic:cNvPicPr/>
                </pic:nvPicPr>
                <pic:blipFill>
                  <a:blip r:embed="rId2">
                    <a:extLst>
                      <a:ext uri="{28A0092B-C50C-407E-A947-70E740481C1C}">
                        <a14:useLocalDpi xmlns:a14="http://schemas.microsoft.com/office/drawing/2010/main" val="0"/>
                      </a:ext>
                    </a:extLst>
                  </a:blip>
                  <a:stretch>
                    <a:fillRect/>
                  </a:stretch>
                </pic:blipFill>
                <pic:spPr>
                  <a:xfrm>
                    <a:off x="0" y="0"/>
                    <a:ext cx="1292444" cy="611716"/>
                  </a:xfrm>
                  <a:prstGeom prst="rect">
                    <a:avLst/>
                  </a:prstGeom>
                </pic:spPr>
              </pic:pic>
            </a:graphicData>
          </a:graphic>
        </wp:inline>
      </w:drawing>
    </w:r>
    <w:r w:rsidRPr="00971E70">
      <w:rPr>
        <w:rFonts w:ascii="Verdana" w:hAnsi="Verdana"/>
        <w:sz w:val="16"/>
        <w:szCs w:val="16"/>
        <w:lang w:val="en-GB"/>
      </w:rPr>
      <w:t xml:space="preserve"> </w:t>
    </w:r>
    <w:r>
      <w:rPr>
        <w:rFonts w:ascii="Verdana" w:hAnsi="Verdana"/>
        <w:sz w:val="16"/>
        <w:szCs w:val="16"/>
        <w:lang w:val="en-GB"/>
      </w:rPr>
      <w:tab/>
    </w:r>
    <w:r>
      <w:rPr>
        <w:rFonts w:ascii="Verdana" w:hAnsi="Verdana"/>
        <w:sz w:val="16"/>
        <w:szCs w:val="16"/>
        <w:lang w:val="en-GB"/>
      </w:rPr>
      <w:tab/>
    </w:r>
    <w:r>
      <w:rPr>
        <w:rFonts w:ascii="Verdana" w:hAnsi="Verdana"/>
        <w:sz w:val="16"/>
        <w:szCs w:val="16"/>
        <w:lang w:val="en-GB"/>
      </w:rPr>
      <w:tab/>
    </w:r>
    <w:r>
      <w:rPr>
        <w:rFonts w:ascii="Verdana" w:hAnsi="Verdana"/>
        <w:sz w:val="16"/>
        <w:szCs w:val="16"/>
        <w:lang w:val="en-GB"/>
      </w:rPr>
      <w:tab/>
    </w:r>
    <w:r>
      <w:rPr>
        <w:rFonts w:ascii="Verdana" w:hAnsi="Verdana"/>
        <w:sz w:val="16"/>
        <w:szCs w:val="16"/>
        <w:lang w:val="en-GB"/>
      </w:rPr>
      <w:tab/>
    </w:r>
    <w:r>
      <w:rPr>
        <w:rFonts w:ascii="Verdana" w:hAnsi="Verdana"/>
        <w:sz w:val="16"/>
        <w:szCs w:val="16"/>
        <w:lang w:val="en-GB"/>
      </w:rPr>
      <w:tab/>
    </w:r>
    <w:r>
      <w:rPr>
        <w:rFonts w:ascii="Verdana" w:hAnsi="Verdana"/>
        <w:sz w:val="16"/>
        <w:szCs w:val="16"/>
        <w:lang w:val="en-GB"/>
      </w:rPr>
      <w:tab/>
      <w:t xml:space="preserve">    </w:t>
    </w:r>
    <w:r>
      <w:rPr>
        <w:rFonts w:ascii="Verdana" w:hAnsi="Verdana"/>
        <w:sz w:val="16"/>
        <w:szCs w:val="16"/>
        <w:lang w:val="en-GB"/>
      </w:rPr>
      <w:tab/>
    </w:r>
  </w:p>
  <w:p w14:paraId="2BF1E815" w14:textId="77777777" w:rsidR="003207A4" w:rsidRDefault="003207A4" w:rsidP="00120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2D034" w14:textId="77777777" w:rsidR="00F41B98" w:rsidRDefault="00F41B98">
      <w:r>
        <w:separator/>
      </w:r>
    </w:p>
  </w:footnote>
  <w:footnote w:type="continuationSeparator" w:id="0">
    <w:p w14:paraId="73F5E20F" w14:textId="77777777" w:rsidR="00F41B98" w:rsidRDefault="00F41B98">
      <w:r>
        <w:continuationSeparator/>
      </w:r>
    </w:p>
  </w:footnote>
  <w:footnote w:id="1">
    <w:p w14:paraId="12D1883B" w14:textId="77777777" w:rsidR="00F41B98" w:rsidRPr="00D8254E" w:rsidRDefault="00F41B98" w:rsidP="00F41B98">
      <w:pPr>
        <w:pStyle w:val="FootnoteText"/>
        <w:spacing w:after="0"/>
        <w:ind w:left="0" w:firstLine="0"/>
        <w:jc w:val="left"/>
        <w:rPr>
          <w:rFonts w:ascii="Verdana" w:hAnsi="Verdana" w:cs="Arial"/>
          <w:sz w:val="16"/>
          <w:szCs w:val="16"/>
          <w:lang w:val="en-US"/>
        </w:rPr>
      </w:pPr>
      <w:r w:rsidRPr="00D8254E">
        <w:rPr>
          <w:rStyle w:val="FootnoteReference"/>
          <w:rFonts w:ascii="Verdana" w:hAnsi="Verdana" w:cs="Arial"/>
          <w:sz w:val="16"/>
          <w:szCs w:val="16"/>
        </w:rPr>
        <w:footnoteRef/>
      </w:r>
      <w:r w:rsidRPr="00F32E15">
        <w:rPr>
          <w:rFonts w:ascii="Verdana" w:hAnsi="Verdana" w:cs="Arial"/>
          <w:sz w:val="16"/>
          <w:szCs w:val="16"/>
          <w:lang w:val="en-GB"/>
        </w:rPr>
        <w:t xml:space="preserve"> On the 11</w:t>
      </w:r>
      <w:r w:rsidRPr="00F32E15">
        <w:rPr>
          <w:rFonts w:ascii="Verdana" w:hAnsi="Verdana" w:cs="Arial"/>
          <w:sz w:val="16"/>
          <w:szCs w:val="16"/>
          <w:vertAlign w:val="superscript"/>
          <w:lang w:val="en-GB"/>
        </w:rPr>
        <w:t>th</w:t>
      </w:r>
      <w:r w:rsidRPr="00F32E15">
        <w:rPr>
          <w:rFonts w:ascii="Verdana" w:hAnsi="Verdana" w:cs="Arial"/>
          <w:sz w:val="16"/>
          <w:szCs w:val="16"/>
          <w:lang w:val="en-GB"/>
        </w:rPr>
        <w:t xml:space="preserve"> May 2011 the Memorandum of Understanding was signed by Portugal. It included a set of structural adjustment policies as a condition for a loan that was granted by the European Commission, The European Central Bank and the International Monetary Fund. Policies that were a result of this Memorandum had a strong impact in Portuguese economy and society as they included severe financial constraints, based on State-funding cuts, salaries cuts and a huge increase in taxation.</w:t>
      </w:r>
    </w:p>
  </w:footnote>
  <w:footnote w:id="2">
    <w:p w14:paraId="0B63FEAD" w14:textId="77777777" w:rsidR="00F41B98" w:rsidRPr="00F4539B" w:rsidRDefault="00F41B98" w:rsidP="00F41B98">
      <w:pPr>
        <w:pStyle w:val="FootnoteText"/>
        <w:spacing w:after="0"/>
        <w:ind w:left="0" w:firstLine="0"/>
        <w:jc w:val="left"/>
        <w:rPr>
          <w:rFonts w:ascii="Verdana" w:hAnsi="Verdana" w:cs="Arial"/>
          <w:sz w:val="16"/>
          <w:szCs w:val="16"/>
          <w:lang w:val="en-US"/>
        </w:rPr>
      </w:pPr>
      <w:r w:rsidRPr="00F4539B">
        <w:rPr>
          <w:rStyle w:val="FootnoteReference"/>
          <w:rFonts w:ascii="Verdana" w:hAnsi="Verdana" w:cs="Arial"/>
          <w:sz w:val="16"/>
          <w:szCs w:val="16"/>
        </w:rPr>
        <w:footnoteRef/>
      </w:r>
      <w:r w:rsidRPr="00F32E15">
        <w:rPr>
          <w:rFonts w:ascii="Verdana" w:hAnsi="Verdana" w:cs="Arial"/>
          <w:sz w:val="16"/>
          <w:szCs w:val="16"/>
          <w:lang w:val="en-GB"/>
        </w:rPr>
        <w:t xml:space="preserve"> Data from 1/06/2017 in http://www.pordata.pt/Portugal/População+empregada+total+e+por+sector+de+actividade+económica-32</w:t>
      </w:r>
    </w:p>
  </w:footnote>
  <w:footnote w:id="3">
    <w:p w14:paraId="162DF204" w14:textId="77777777" w:rsidR="00F41B98" w:rsidRPr="00F4539B" w:rsidRDefault="00F41B98" w:rsidP="00F41B98">
      <w:pPr>
        <w:pStyle w:val="FootnoteText"/>
        <w:spacing w:after="0"/>
        <w:ind w:left="0" w:firstLine="0"/>
        <w:jc w:val="left"/>
        <w:rPr>
          <w:rFonts w:ascii="Verdana" w:hAnsi="Verdana" w:cs="Arial"/>
          <w:sz w:val="16"/>
          <w:szCs w:val="16"/>
          <w:lang w:val="en-US"/>
        </w:rPr>
      </w:pPr>
      <w:r w:rsidRPr="00F4539B">
        <w:rPr>
          <w:rStyle w:val="FootnoteReference"/>
          <w:rFonts w:ascii="Verdana" w:hAnsi="Verdana" w:cs="Arial"/>
          <w:sz w:val="16"/>
          <w:szCs w:val="16"/>
        </w:rPr>
        <w:footnoteRef/>
      </w:r>
      <w:r w:rsidRPr="00F32E15">
        <w:rPr>
          <w:rFonts w:ascii="Verdana" w:hAnsi="Verdana" w:cs="Arial"/>
          <w:sz w:val="16"/>
          <w:szCs w:val="16"/>
          <w:lang w:val="en-GB"/>
        </w:rPr>
        <w:t xml:space="preserve"> Data from 1/06/2017 in http://www.pordata.pt/Portugal/População+empregada+total+e+por+sector+de+actividade+económica-32</w:t>
      </w:r>
    </w:p>
  </w:footnote>
  <w:footnote w:id="4">
    <w:p w14:paraId="51D9D23C" w14:textId="77777777" w:rsidR="00F41B98" w:rsidRPr="00F32E15" w:rsidRDefault="00F41B98" w:rsidP="00F41B98">
      <w:pPr>
        <w:pStyle w:val="FootnoteText"/>
        <w:spacing w:after="0"/>
        <w:ind w:left="0" w:firstLine="0"/>
        <w:jc w:val="left"/>
        <w:rPr>
          <w:rFonts w:ascii="Verdana" w:hAnsi="Verdana" w:cs="Arial"/>
          <w:sz w:val="16"/>
          <w:szCs w:val="16"/>
          <w:lang w:val="en-GB"/>
        </w:rPr>
      </w:pPr>
      <w:r w:rsidRPr="00F4539B">
        <w:rPr>
          <w:rStyle w:val="FootnoteReference"/>
          <w:rFonts w:ascii="Verdana" w:hAnsi="Verdana" w:cs="Arial"/>
          <w:sz w:val="16"/>
          <w:szCs w:val="16"/>
        </w:rPr>
        <w:footnoteRef/>
      </w:r>
      <w:r w:rsidRPr="00F32E15">
        <w:rPr>
          <w:rFonts w:ascii="Verdana" w:hAnsi="Verdana" w:cs="Arial"/>
          <w:sz w:val="16"/>
          <w:szCs w:val="16"/>
          <w:lang w:val="en-GB"/>
        </w:rPr>
        <w:t xml:space="preserve"> Data from 1/06/2017 in http://www.pordata.pt/Portugal/População+empregada+total+e+por+sector+de+actividade+económica-32</w:t>
      </w:r>
    </w:p>
  </w:footnote>
  <w:footnote w:id="5">
    <w:p w14:paraId="2C6320BD" w14:textId="77777777" w:rsidR="00F41B98" w:rsidRPr="00F32E15" w:rsidRDefault="00F41B98" w:rsidP="00F41B98">
      <w:pPr>
        <w:spacing w:after="0"/>
        <w:jc w:val="left"/>
        <w:rPr>
          <w:rFonts w:ascii="Verdana" w:hAnsi="Verdana" w:cs="Arial"/>
          <w:sz w:val="16"/>
          <w:szCs w:val="16"/>
          <w:lang w:val="en-GB"/>
        </w:rPr>
      </w:pPr>
      <w:r w:rsidRPr="00F4539B">
        <w:rPr>
          <w:rStyle w:val="FootnoteReference"/>
          <w:rFonts w:ascii="Verdana" w:hAnsi="Verdana" w:cs="Arial"/>
          <w:sz w:val="16"/>
          <w:szCs w:val="16"/>
        </w:rPr>
        <w:footnoteRef/>
      </w:r>
      <w:r w:rsidRPr="00F4539B">
        <w:rPr>
          <w:rFonts w:ascii="Verdana" w:hAnsi="Verdana" w:cs="Arial"/>
          <w:sz w:val="16"/>
          <w:szCs w:val="16"/>
          <w:lang w:val="es-ES"/>
        </w:rPr>
        <w:t xml:space="preserve"> Mamede, R., Rodrigues, J., Teles, N. &amp; Cabral, R. (2013). </w:t>
      </w:r>
      <w:r w:rsidRPr="00F32E15">
        <w:rPr>
          <w:rFonts w:ascii="Verdana" w:hAnsi="Verdana" w:cs="Arial"/>
          <w:sz w:val="16"/>
          <w:szCs w:val="16"/>
          <w:lang w:val="en-GB"/>
        </w:rPr>
        <w:t>Portugal no context Europeu. Speaking at the Conference “Economia portuguesa: propostas com futuro”, on 16</w:t>
      </w:r>
      <w:r w:rsidRPr="00F32E15">
        <w:rPr>
          <w:rFonts w:ascii="Verdana" w:hAnsi="Verdana" w:cs="Arial"/>
          <w:sz w:val="16"/>
          <w:szCs w:val="16"/>
          <w:vertAlign w:val="superscript"/>
          <w:lang w:val="en-GB"/>
        </w:rPr>
        <w:t>th</w:t>
      </w:r>
      <w:r w:rsidRPr="00F32E15">
        <w:rPr>
          <w:rFonts w:ascii="Verdana" w:hAnsi="Verdana" w:cs="Arial"/>
          <w:sz w:val="16"/>
          <w:szCs w:val="16"/>
          <w:lang w:val="en-GB"/>
        </w:rPr>
        <w:t xml:space="preserve"> February 2013, in Fundação Calouste Gulbenkian accessed on 2.06.2017 in </w:t>
      </w:r>
      <w:r w:rsidRPr="00F32E15">
        <w:rPr>
          <w:rFonts w:ascii="Verdana" w:hAnsi="Verdana" w:cs="Arial"/>
          <w:sz w:val="16"/>
          <w:szCs w:val="16"/>
          <w:shd w:val="clear" w:color="auto" w:fill="FFFFFF"/>
          <w:lang w:val="en-GB"/>
        </w:rPr>
        <w:t>home.iscte-iul.pt/~rpme/Documentos/RPM_al_2013_EcFuturo.pdf</w:t>
      </w:r>
    </w:p>
  </w:footnote>
  <w:footnote w:id="6">
    <w:p w14:paraId="71EBBD70" w14:textId="77777777" w:rsidR="00F41B98" w:rsidRPr="00F32E15" w:rsidRDefault="00F41B98" w:rsidP="00F41B98">
      <w:pPr>
        <w:pStyle w:val="FootnoteText"/>
        <w:spacing w:after="0"/>
        <w:ind w:left="0" w:firstLine="0"/>
        <w:jc w:val="left"/>
        <w:rPr>
          <w:rFonts w:ascii="Verdana" w:hAnsi="Verdana" w:cs="Arial"/>
          <w:sz w:val="16"/>
          <w:szCs w:val="16"/>
          <w:lang w:val="en-GB"/>
        </w:rPr>
      </w:pPr>
      <w:r w:rsidRPr="00F4539B">
        <w:rPr>
          <w:rStyle w:val="FootnoteReference"/>
          <w:rFonts w:ascii="Verdana" w:hAnsi="Verdana" w:cs="Arial"/>
          <w:sz w:val="16"/>
          <w:szCs w:val="16"/>
        </w:rPr>
        <w:footnoteRef/>
      </w:r>
      <w:r w:rsidRPr="00F32E15">
        <w:rPr>
          <w:rFonts w:ascii="Verdana" w:hAnsi="Verdana" w:cs="Arial"/>
          <w:sz w:val="16"/>
          <w:szCs w:val="16"/>
          <w:lang w:val="en-GB"/>
        </w:rPr>
        <w:t xml:space="preserve"> Data from 2/06/2017 accessed on 15/09/2017 in http://ec.europa.eu/eurostat/statistics-explained/index.php/File:Unemployment_rates,_seasonally_adjusted,_April_2017_(%25)_F2.png</w:t>
      </w:r>
    </w:p>
  </w:footnote>
  <w:footnote w:id="7">
    <w:p w14:paraId="7BCF562A" w14:textId="77777777" w:rsidR="00F41B98" w:rsidRPr="00F4539B" w:rsidRDefault="00F41B98" w:rsidP="00F41B98">
      <w:pPr>
        <w:pStyle w:val="FootnoteText"/>
        <w:spacing w:after="0"/>
        <w:ind w:left="0" w:firstLine="0"/>
        <w:jc w:val="left"/>
        <w:rPr>
          <w:rFonts w:ascii="Verdana" w:hAnsi="Verdana" w:cs="Arial"/>
          <w:sz w:val="16"/>
          <w:szCs w:val="16"/>
          <w:lang w:val="en-US"/>
        </w:rPr>
      </w:pPr>
      <w:r w:rsidRPr="00F4539B">
        <w:rPr>
          <w:rStyle w:val="FootnoteReference"/>
          <w:rFonts w:ascii="Verdana" w:hAnsi="Verdana" w:cs="Arial"/>
          <w:sz w:val="16"/>
          <w:szCs w:val="16"/>
        </w:rPr>
        <w:footnoteRef/>
      </w:r>
      <w:r w:rsidRPr="00F32E15">
        <w:rPr>
          <w:rFonts w:ascii="Verdana" w:hAnsi="Verdana" w:cs="Arial"/>
          <w:sz w:val="16"/>
          <w:szCs w:val="16"/>
          <w:lang w:val="en-GB"/>
        </w:rPr>
        <w:t xml:space="preserve"> Data from 2/06/2017 accessed on http://www.pordata.pt/Europa/Taxa+de+desemprego+de+longa+duração+total+e+por+sexo-2264</w:t>
      </w:r>
    </w:p>
  </w:footnote>
  <w:footnote w:id="8">
    <w:p w14:paraId="5C29796D" w14:textId="77777777" w:rsidR="00F41B98" w:rsidRPr="0004580B" w:rsidRDefault="00F41B98" w:rsidP="00F41B98">
      <w:pPr>
        <w:pStyle w:val="FootnoteText"/>
        <w:spacing w:after="0"/>
        <w:ind w:left="0" w:firstLine="0"/>
        <w:jc w:val="left"/>
        <w:rPr>
          <w:rFonts w:ascii="Verdana" w:hAnsi="Verdana" w:cs="Arial"/>
          <w:sz w:val="16"/>
          <w:szCs w:val="16"/>
          <w:lang w:val="pt-BR"/>
        </w:rPr>
      </w:pPr>
      <w:r w:rsidRPr="0004580B">
        <w:rPr>
          <w:rStyle w:val="FootnoteReference"/>
          <w:rFonts w:ascii="Verdana" w:hAnsi="Verdana" w:cs="Arial"/>
          <w:sz w:val="16"/>
          <w:szCs w:val="16"/>
        </w:rPr>
        <w:footnoteRef/>
      </w:r>
      <w:r w:rsidRPr="0004580B">
        <w:rPr>
          <w:rFonts w:ascii="Verdana" w:hAnsi="Verdana" w:cs="Arial"/>
          <w:sz w:val="16"/>
          <w:szCs w:val="16"/>
          <w:lang w:val="pt-PT"/>
        </w:rPr>
        <w:t xml:space="preserve"> In Portuguese </w:t>
      </w:r>
      <w:r w:rsidRPr="0004580B">
        <w:rPr>
          <w:rFonts w:ascii="Verdana" w:hAnsi="Verdana" w:cs="Arial"/>
          <w:i/>
          <w:sz w:val="16"/>
          <w:szCs w:val="16"/>
          <w:lang w:val="pt-PT"/>
        </w:rPr>
        <w:t>Instituto de Emprego e Formação Profissional</w:t>
      </w:r>
      <w:r w:rsidRPr="0004580B">
        <w:rPr>
          <w:rFonts w:ascii="Verdana" w:hAnsi="Verdana" w:cs="Arial"/>
          <w:sz w:val="16"/>
          <w:szCs w:val="16"/>
          <w:lang w:val="pt-PT"/>
        </w:rPr>
        <w:t>.</w:t>
      </w:r>
    </w:p>
  </w:footnote>
  <w:footnote w:id="9">
    <w:p w14:paraId="3E24214A" w14:textId="77777777" w:rsidR="00F41B98" w:rsidRPr="0092007F" w:rsidRDefault="00F41B98" w:rsidP="00F41B98">
      <w:pPr>
        <w:pStyle w:val="FootnoteText"/>
        <w:spacing w:after="0"/>
        <w:ind w:left="0" w:firstLine="0"/>
        <w:jc w:val="left"/>
        <w:rPr>
          <w:rFonts w:cs="Arial"/>
          <w:sz w:val="16"/>
          <w:szCs w:val="16"/>
          <w:lang w:val="pt-BR"/>
        </w:rPr>
      </w:pPr>
      <w:r w:rsidRPr="0004580B">
        <w:rPr>
          <w:rStyle w:val="FootnoteReference"/>
          <w:rFonts w:ascii="Verdana" w:hAnsi="Verdana" w:cs="Arial"/>
          <w:sz w:val="16"/>
          <w:szCs w:val="16"/>
        </w:rPr>
        <w:footnoteRef/>
      </w:r>
      <w:r w:rsidRPr="0004580B">
        <w:rPr>
          <w:rFonts w:ascii="Verdana" w:hAnsi="Verdana" w:cs="Arial"/>
          <w:sz w:val="16"/>
          <w:szCs w:val="16"/>
          <w:lang w:val="es-ES"/>
        </w:rPr>
        <w:t xml:space="preserve"> Data in Barómetro das Coisas, 26/03/2015, n.º 13.</w:t>
      </w:r>
    </w:p>
  </w:footnote>
  <w:footnote w:id="10">
    <w:p w14:paraId="47AC5ED0" w14:textId="77777777" w:rsidR="00F41B98" w:rsidRPr="0004580B" w:rsidRDefault="00F41B98" w:rsidP="00F41B98">
      <w:pPr>
        <w:pStyle w:val="FootnoteText"/>
        <w:spacing w:after="0"/>
        <w:ind w:left="0" w:firstLine="0"/>
        <w:jc w:val="left"/>
        <w:rPr>
          <w:rFonts w:ascii="Verdana" w:hAnsi="Verdana" w:cs="Arial"/>
          <w:sz w:val="16"/>
          <w:szCs w:val="16"/>
          <w:lang w:val="pt-BR"/>
        </w:rPr>
      </w:pPr>
      <w:r w:rsidRPr="0004580B">
        <w:rPr>
          <w:rStyle w:val="FootnoteReference"/>
          <w:rFonts w:ascii="Verdana" w:hAnsi="Verdana" w:cs="Arial"/>
          <w:sz w:val="16"/>
          <w:szCs w:val="16"/>
        </w:rPr>
        <w:footnoteRef/>
      </w:r>
      <w:r w:rsidRPr="0004580B">
        <w:rPr>
          <w:rFonts w:ascii="Verdana" w:hAnsi="Verdana" w:cs="Arial"/>
          <w:sz w:val="16"/>
          <w:szCs w:val="16"/>
          <w:lang w:val="pt-PT"/>
        </w:rPr>
        <w:t xml:space="preserve"> In Portuguese </w:t>
      </w:r>
      <w:r w:rsidRPr="0004580B">
        <w:rPr>
          <w:rFonts w:ascii="Verdana" w:hAnsi="Verdana" w:cs="Arial"/>
          <w:i/>
          <w:sz w:val="16"/>
          <w:szCs w:val="16"/>
          <w:lang w:val="pt-PT"/>
        </w:rPr>
        <w:t>Saber</w:t>
      </w:r>
      <w:proofErr w:type="gramStart"/>
      <w:r w:rsidRPr="0004580B">
        <w:rPr>
          <w:rFonts w:ascii="Verdana" w:hAnsi="Verdana" w:cs="Arial"/>
          <w:i/>
          <w:sz w:val="16"/>
          <w:szCs w:val="16"/>
          <w:lang w:val="pt-PT"/>
        </w:rPr>
        <w:t>+</w:t>
      </w:r>
      <w:proofErr w:type="gramEnd"/>
      <w:r w:rsidRPr="0004580B">
        <w:rPr>
          <w:rFonts w:ascii="Verdana" w:hAnsi="Verdana" w:cs="Arial"/>
          <w:i/>
          <w:sz w:val="16"/>
          <w:szCs w:val="16"/>
          <w:lang w:val="pt-PT"/>
        </w:rPr>
        <w:t>. Programa para o Desenvolvimento e Expansão da Educação de Adultos (1999-2006)</w:t>
      </w:r>
      <w:r w:rsidRPr="0004580B">
        <w:rPr>
          <w:rFonts w:ascii="Verdana" w:hAnsi="Verdana" w:cs="Arial"/>
          <w:sz w:val="16"/>
          <w:szCs w:val="16"/>
          <w:lang w:val="pt-PT"/>
        </w:rPr>
        <w:t xml:space="preserve"> (To konw+. Programme for the development and expansion of adult education and training (1999-2006).</w:t>
      </w:r>
    </w:p>
  </w:footnote>
  <w:footnote w:id="11">
    <w:p w14:paraId="3ABE2628" w14:textId="77777777" w:rsidR="00F41B98" w:rsidRPr="0004580B" w:rsidRDefault="00F41B98" w:rsidP="00F41B98">
      <w:pPr>
        <w:pStyle w:val="FootnoteText"/>
        <w:spacing w:after="0"/>
        <w:ind w:left="0" w:firstLine="0"/>
        <w:jc w:val="left"/>
        <w:rPr>
          <w:rFonts w:ascii="Verdana" w:hAnsi="Verdana" w:cs="Arial"/>
          <w:sz w:val="16"/>
          <w:szCs w:val="16"/>
          <w:lang w:val="pt-BR"/>
        </w:rPr>
      </w:pPr>
      <w:r w:rsidRPr="0004580B">
        <w:rPr>
          <w:rStyle w:val="FootnoteReference"/>
          <w:rFonts w:ascii="Verdana" w:hAnsi="Verdana" w:cs="Arial"/>
          <w:sz w:val="16"/>
          <w:szCs w:val="16"/>
        </w:rPr>
        <w:footnoteRef/>
      </w:r>
      <w:r w:rsidRPr="00F32E15">
        <w:rPr>
          <w:rFonts w:ascii="Verdana" w:hAnsi="Verdana" w:cs="Arial"/>
          <w:sz w:val="16"/>
          <w:szCs w:val="16"/>
          <w:lang w:val="en-GB"/>
        </w:rPr>
        <w:t xml:space="preserve"> </w:t>
      </w:r>
      <w:r w:rsidRPr="0004580B">
        <w:rPr>
          <w:rFonts w:ascii="Verdana" w:hAnsi="Verdana" w:cs="Arial"/>
          <w:sz w:val="16"/>
          <w:szCs w:val="16"/>
          <w:lang w:val="pt-PT"/>
        </w:rPr>
        <w:t>In Portuguese Iniciativa Novas Opportunidades (New opportunities programe).</w:t>
      </w:r>
    </w:p>
  </w:footnote>
  <w:footnote w:id="12">
    <w:p w14:paraId="2BCAA925" w14:textId="77777777" w:rsidR="00F41B98" w:rsidRPr="00F32E15" w:rsidRDefault="00F41B98" w:rsidP="00F41B98">
      <w:pPr>
        <w:pStyle w:val="FootnoteText"/>
        <w:spacing w:after="0"/>
        <w:ind w:left="0" w:firstLine="0"/>
        <w:jc w:val="left"/>
        <w:rPr>
          <w:rFonts w:ascii="Verdana" w:hAnsi="Verdana" w:cs="Arial"/>
          <w:sz w:val="16"/>
          <w:szCs w:val="16"/>
          <w:lang w:val="en-GB"/>
        </w:rPr>
      </w:pPr>
      <w:r w:rsidRPr="0004580B">
        <w:rPr>
          <w:rStyle w:val="FootnoteReference"/>
          <w:rFonts w:ascii="Verdana" w:hAnsi="Verdana" w:cs="Arial"/>
          <w:sz w:val="16"/>
          <w:szCs w:val="16"/>
        </w:rPr>
        <w:footnoteRef/>
      </w:r>
      <w:r w:rsidRPr="00F32E15">
        <w:rPr>
          <w:rFonts w:ascii="Verdana" w:hAnsi="Verdana" w:cs="Arial"/>
          <w:sz w:val="16"/>
          <w:szCs w:val="16"/>
          <w:lang w:val="en-GB"/>
        </w:rPr>
        <w:t xml:space="preserve"> Antunes, F. (2016). Economising education: from the silent revolution to rethinking education. A new moment of Europeanisation of education? </w:t>
      </w:r>
      <w:r w:rsidRPr="00F32E15">
        <w:rPr>
          <w:rFonts w:ascii="Verdana" w:hAnsi="Verdana" w:cs="Arial"/>
          <w:i/>
          <w:sz w:val="16"/>
          <w:szCs w:val="16"/>
          <w:lang w:val="en-GB"/>
        </w:rPr>
        <w:t>European Educational and Research Journal</w:t>
      </w:r>
      <w:r w:rsidRPr="00F32E15">
        <w:rPr>
          <w:rFonts w:ascii="Verdana" w:hAnsi="Verdana" w:cs="Arial"/>
          <w:sz w:val="16"/>
          <w:szCs w:val="16"/>
          <w:lang w:val="en-GB"/>
        </w:rPr>
        <w:t>, vol. 15, no. 4, pp. 410-427.</w:t>
      </w:r>
    </w:p>
  </w:footnote>
  <w:footnote w:id="13">
    <w:p w14:paraId="18C7B767" w14:textId="77777777" w:rsidR="00F41B98" w:rsidRPr="0004580B" w:rsidRDefault="00F41B98" w:rsidP="00F41B98">
      <w:pPr>
        <w:pStyle w:val="FootnoteText"/>
        <w:spacing w:after="0"/>
        <w:ind w:left="0" w:firstLine="0"/>
        <w:jc w:val="left"/>
        <w:rPr>
          <w:rFonts w:ascii="Verdana" w:hAnsi="Verdana" w:cs="Arial"/>
          <w:b/>
          <w:sz w:val="16"/>
          <w:szCs w:val="16"/>
          <w:lang w:val="pt-BR"/>
        </w:rPr>
      </w:pPr>
      <w:r w:rsidRPr="0004580B">
        <w:rPr>
          <w:rStyle w:val="FootnoteReference"/>
          <w:rFonts w:ascii="Verdana" w:hAnsi="Verdana" w:cs="Arial"/>
          <w:sz w:val="16"/>
          <w:szCs w:val="16"/>
        </w:rPr>
        <w:footnoteRef/>
      </w:r>
      <w:r w:rsidRPr="0004580B">
        <w:rPr>
          <w:rFonts w:ascii="Verdana" w:hAnsi="Verdana" w:cs="Arial"/>
          <w:sz w:val="16"/>
          <w:szCs w:val="16"/>
          <w:lang w:val="es-ES"/>
        </w:rPr>
        <w:t xml:space="preserve"> In Portuguese </w:t>
      </w:r>
      <w:r w:rsidRPr="0004580B">
        <w:rPr>
          <w:rFonts w:ascii="Verdana" w:hAnsi="Verdana" w:cs="Arial"/>
          <w:i/>
          <w:sz w:val="16"/>
          <w:szCs w:val="16"/>
          <w:lang w:val="es-ES"/>
        </w:rPr>
        <w:t>Formação Modular</w:t>
      </w:r>
      <w:r w:rsidRPr="0004580B">
        <w:rPr>
          <w:rFonts w:ascii="Verdana" w:hAnsi="Verdana" w:cs="Arial"/>
          <w:sz w:val="16"/>
          <w:szCs w:val="16"/>
          <w:lang w:val="es-ES"/>
        </w:rPr>
        <w:t>.</w:t>
      </w:r>
    </w:p>
  </w:footnote>
  <w:footnote w:id="14">
    <w:p w14:paraId="40D39E6B" w14:textId="77777777" w:rsidR="00F41B98" w:rsidRPr="0004580B" w:rsidRDefault="00F41B98" w:rsidP="00F41B98">
      <w:pPr>
        <w:pStyle w:val="FootnoteText"/>
        <w:spacing w:after="0"/>
        <w:ind w:left="0" w:firstLine="0"/>
        <w:jc w:val="left"/>
        <w:rPr>
          <w:rFonts w:ascii="Verdana" w:hAnsi="Verdana" w:cs="Arial"/>
          <w:sz w:val="16"/>
          <w:szCs w:val="16"/>
          <w:lang w:val="pt-BR"/>
        </w:rPr>
      </w:pPr>
      <w:r w:rsidRPr="0004580B">
        <w:rPr>
          <w:rStyle w:val="FootnoteReference"/>
          <w:rFonts w:ascii="Verdana" w:hAnsi="Verdana" w:cs="Arial"/>
          <w:sz w:val="16"/>
          <w:szCs w:val="16"/>
        </w:rPr>
        <w:footnoteRef/>
      </w:r>
      <w:r w:rsidRPr="0004580B">
        <w:rPr>
          <w:rFonts w:ascii="Verdana" w:hAnsi="Verdana" w:cs="Arial"/>
          <w:sz w:val="16"/>
          <w:szCs w:val="16"/>
          <w:lang w:val="pt-PT"/>
        </w:rPr>
        <w:t xml:space="preserve"> In Portuguese </w:t>
      </w:r>
      <w:r w:rsidRPr="0004580B">
        <w:rPr>
          <w:rFonts w:ascii="Verdana" w:hAnsi="Verdana" w:cs="Arial"/>
          <w:i/>
          <w:sz w:val="16"/>
          <w:szCs w:val="16"/>
          <w:lang w:val="pt-PT"/>
        </w:rPr>
        <w:t>Cursos de Educação e Formação de Adultos</w:t>
      </w:r>
      <w:r w:rsidRPr="0004580B">
        <w:rPr>
          <w:rFonts w:ascii="Verdana" w:hAnsi="Verdana" w:cs="Arial"/>
          <w:sz w:val="16"/>
          <w:szCs w:val="16"/>
          <w:lang w:val="pt-PT"/>
        </w:rPr>
        <w:t>.</w:t>
      </w:r>
    </w:p>
  </w:footnote>
  <w:footnote w:id="15">
    <w:p w14:paraId="11714AF6" w14:textId="77777777" w:rsidR="00F41B98" w:rsidRPr="0004580B" w:rsidRDefault="00F41B98" w:rsidP="00F41B98">
      <w:pPr>
        <w:pStyle w:val="FootnoteText"/>
        <w:spacing w:after="0"/>
        <w:ind w:left="0" w:firstLine="0"/>
        <w:jc w:val="left"/>
        <w:rPr>
          <w:rFonts w:ascii="Verdana" w:hAnsi="Verdana" w:cs="Arial"/>
          <w:sz w:val="16"/>
          <w:szCs w:val="16"/>
          <w:lang w:val="pt-BR"/>
        </w:rPr>
      </w:pPr>
      <w:r w:rsidRPr="0004580B">
        <w:rPr>
          <w:rStyle w:val="FootnoteReference"/>
          <w:rFonts w:ascii="Verdana" w:hAnsi="Verdana" w:cs="Arial"/>
          <w:sz w:val="16"/>
          <w:szCs w:val="16"/>
        </w:rPr>
        <w:footnoteRef/>
      </w:r>
      <w:r w:rsidRPr="0004580B">
        <w:rPr>
          <w:rFonts w:ascii="Verdana" w:hAnsi="Verdana" w:cs="Arial"/>
          <w:sz w:val="16"/>
          <w:szCs w:val="16"/>
          <w:lang w:val="pt-PT"/>
        </w:rPr>
        <w:t xml:space="preserve"> In Portuguese </w:t>
      </w:r>
      <w:r w:rsidRPr="0004580B">
        <w:rPr>
          <w:rFonts w:ascii="Verdana" w:hAnsi="Verdana" w:cs="Arial"/>
          <w:i/>
          <w:sz w:val="16"/>
          <w:szCs w:val="16"/>
          <w:lang w:val="pt-PT"/>
        </w:rPr>
        <w:t>Reconhecimento, Validação e Certificação de Competências</w:t>
      </w:r>
      <w:r w:rsidRPr="0004580B">
        <w:rPr>
          <w:rFonts w:ascii="Verdana" w:hAnsi="Verdana" w:cs="Arial"/>
          <w:color w:val="4F81BD" w:themeColor="accent1"/>
          <w:sz w:val="16"/>
          <w:szCs w:val="16"/>
          <w:lang w:val="pt-PT"/>
        </w:rPr>
        <w:t>.</w:t>
      </w:r>
    </w:p>
  </w:footnote>
  <w:footnote w:id="16">
    <w:p w14:paraId="42557BE9" w14:textId="77777777" w:rsidR="00F41B98" w:rsidRPr="0004580B" w:rsidRDefault="00F41B98" w:rsidP="00F41B98">
      <w:pPr>
        <w:pStyle w:val="FootnoteText"/>
        <w:spacing w:after="0"/>
        <w:ind w:left="0" w:firstLine="0"/>
        <w:jc w:val="left"/>
        <w:rPr>
          <w:rFonts w:ascii="Verdana" w:hAnsi="Verdana" w:cs="Arial"/>
          <w:sz w:val="16"/>
          <w:szCs w:val="16"/>
          <w:lang w:val="en-US"/>
        </w:rPr>
      </w:pPr>
      <w:r w:rsidRPr="0004580B">
        <w:rPr>
          <w:rStyle w:val="FootnoteReference"/>
          <w:rFonts w:ascii="Verdana" w:hAnsi="Verdana" w:cs="Arial"/>
          <w:sz w:val="16"/>
          <w:szCs w:val="16"/>
        </w:rPr>
        <w:footnoteRef/>
      </w:r>
      <w:r w:rsidRPr="00F32E15">
        <w:rPr>
          <w:rFonts w:ascii="Verdana" w:hAnsi="Verdana" w:cs="Arial"/>
          <w:sz w:val="16"/>
          <w:szCs w:val="16"/>
          <w:lang w:val="en-GB"/>
        </w:rPr>
        <w:t xml:space="preserve"> Data from 2/06/2017 </w:t>
      </w:r>
      <w:hyperlink r:id="rId1" w:anchor="Qualifica_Programme" w:history="1">
        <w:r w:rsidRPr="00F32E15">
          <w:rPr>
            <w:rStyle w:val="Hyperlink"/>
            <w:rFonts w:ascii="Verdana" w:hAnsi="Verdana" w:cs="Arial"/>
            <w:sz w:val="16"/>
            <w:szCs w:val="16"/>
            <w:lang w:val="en-GB"/>
          </w:rPr>
          <w:t>https://webgate.ec.europa.eu/fpfis/mwikis/eurydice/index.php/Portugal:National_Reforms_in_Vocational_Education_and_Training_and_Adult_Learning#Qualifica_Programme</w:t>
        </w:r>
      </w:hyperlink>
      <w:r w:rsidRPr="00F32E15">
        <w:rPr>
          <w:rFonts w:ascii="Verdana" w:hAnsi="Verdana" w:cs="Arial"/>
          <w:sz w:val="16"/>
          <w:szCs w:val="16"/>
          <w:lang w:val="en-GB"/>
        </w:rPr>
        <w:t xml:space="preserve"> </w:t>
      </w:r>
    </w:p>
  </w:footnote>
  <w:footnote w:id="17">
    <w:p w14:paraId="647F6A7E" w14:textId="77777777" w:rsidR="00F41B98" w:rsidRPr="0004580B" w:rsidRDefault="00F41B98" w:rsidP="00F41B98">
      <w:pPr>
        <w:pStyle w:val="FootnoteText"/>
        <w:spacing w:after="0"/>
        <w:ind w:left="0" w:firstLine="0"/>
        <w:jc w:val="left"/>
        <w:rPr>
          <w:rFonts w:ascii="Verdana" w:hAnsi="Verdana" w:cs="Arial"/>
          <w:sz w:val="16"/>
          <w:szCs w:val="16"/>
          <w:lang w:val="pt-BR"/>
        </w:rPr>
      </w:pPr>
      <w:r w:rsidRPr="0004580B">
        <w:rPr>
          <w:rStyle w:val="FootnoteReference"/>
          <w:rFonts w:ascii="Verdana" w:hAnsi="Verdana" w:cs="Arial"/>
          <w:sz w:val="16"/>
          <w:szCs w:val="16"/>
        </w:rPr>
        <w:footnoteRef/>
      </w:r>
      <w:r w:rsidRPr="0004580B">
        <w:rPr>
          <w:rFonts w:ascii="Verdana" w:hAnsi="Verdana" w:cs="Arial"/>
          <w:sz w:val="16"/>
          <w:szCs w:val="16"/>
          <w:lang w:val="pt-PT"/>
        </w:rPr>
        <w:t xml:space="preserve"> </w:t>
      </w:r>
      <w:r w:rsidRPr="00F41B98">
        <w:rPr>
          <w:rFonts w:ascii="Verdana" w:hAnsi="Verdana" w:cs="Arial"/>
          <w:sz w:val="16"/>
          <w:szCs w:val="16"/>
          <w:lang w:val="pt-PT"/>
        </w:rPr>
        <w:t>Portaria n.º 232/2016, 29/08.</w:t>
      </w:r>
    </w:p>
  </w:footnote>
  <w:footnote w:id="18">
    <w:p w14:paraId="07253D3E" w14:textId="77777777" w:rsidR="00F41B98" w:rsidRPr="0092007F" w:rsidRDefault="00F41B98" w:rsidP="00F41B98">
      <w:pPr>
        <w:pStyle w:val="FootnoteText"/>
        <w:spacing w:after="0"/>
        <w:ind w:left="0" w:firstLine="0"/>
        <w:jc w:val="left"/>
        <w:rPr>
          <w:rFonts w:cs="Arial"/>
          <w:sz w:val="16"/>
          <w:szCs w:val="16"/>
          <w:lang w:val="pt-BR"/>
        </w:rPr>
      </w:pPr>
      <w:r w:rsidRPr="0004580B">
        <w:rPr>
          <w:rStyle w:val="FootnoteReference"/>
          <w:rFonts w:ascii="Verdana" w:hAnsi="Verdana" w:cs="Arial"/>
          <w:sz w:val="16"/>
          <w:szCs w:val="16"/>
        </w:rPr>
        <w:footnoteRef/>
      </w:r>
      <w:r w:rsidRPr="0004580B">
        <w:rPr>
          <w:rFonts w:ascii="Verdana" w:hAnsi="Verdana" w:cs="Arial"/>
          <w:sz w:val="16"/>
          <w:szCs w:val="16"/>
          <w:lang w:val="es-ES"/>
        </w:rPr>
        <w:t xml:space="preserve"> See Instituto Nacional de Estatística (2013). Aprendizagem ao Longo da Vida. Inquérito à Educação e Formação de Adultos 2011. Lisboa: Instituto Nacional de Estatística and Valente, A. C. (Coord.), Simões, A &amp; Santos, </w:t>
      </w:r>
      <w:proofErr w:type="gramStart"/>
      <w:r w:rsidRPr="0004580B">
        <w:rPr>
          <w:rFonts w:ascii="Verdana" w:hAnsi="Verdana" w:cs="Arial"/>
          <w:sz w:val="16"/>
          <w:szCs w:val="16"/>
          <w:lang w:val="es-ES"/>
        </w:rPr>
        <w:t>F.(</w:t>
      </w:r>
      <w:proofErr w:type="gramEnd"/>
      <w:r w:rsidRPr="0004580B">
        <w:rPr>
          <w:rFonts w:ascii="Verdana" w:hAnsi="Verdana" w:cs="Arial"/>
          <w:sz w:val="16"/>
          <w:szCs w:val="16"/>
          <w:lang w:val="es-ES"/>
        </w:rPr>
        <w:t xml:space="preserve">2014), </w:t>
      </w:r>
      <w:r w:rsidRPr="0004580B">
        <w:rPr>
          <w:rFonts w:ascii="Verdana" w:hAnsi="Verdana" w:cs="Arial"/>
          <w:i/>
          <w:sz w:val="16"/>
          <w:szCs w:val="16"/>
          <w:lang w:val="es-ES"/>
        </w:rPr>
        <w:t>Adultos de Baixa Escolaridade: Desafios para a Aprendizagem ao Longo da Vida (ALV) em Portugal</w:t>
      </w:r>
      <w:r w:rsidRPr="0004580B">
        <w:rPr>
          <w:rFonts w:ascii="Verdana" w:hAnsi="Verdana" w:cs="Arial"/>
          <w:sz w:val="16"/>
          <w:szCs w:val="16"/>
          <w:lang w:val="es-ES"/>
        </w:rPr>
        <w:t>. Lisboa: Instituto de Estudos Sociais e Económicos.</w:t>
      </w:r>
    </w:p>
  </w:footnote>
  <w:footnote w:id="19">
    <w:p w14:paraId="29A1CEE7" w14:textId="77777777" w:rsidR="00F41B98" w:rsidRPr="004354BE" w:rsidRDefault="00F41B98" w:rsidP="00F41B98">
      <w:pPr>
        <w:pStyle w:val="FootnoteText"/>
        <w:spacing w:after="0"/>
        <w:ind w:left="0" w:firstLine="0"/>
        <w:jc w:val="left"/>
        <w:rPr>
          <w:rFonts w:ascii="Verdana" w:hAnsi="Verdana" w:cs="Arial"/>
          <w:sz w:val="16"/>
          <w:szCs w:val="16"/>
          <w:lang w:val="it-IT"/>
        </w:rPr>
      </w:pPr>
      <w:r w:rsidRPr="004354BE">
        <w:rPr>
          <w:rStyle w:val="FootnoteReference"/>
          <w:rFonts w:ascii="Verdana" w:hAnsi="Verdana" w:cs="Arial"/>
          <w:sz w:val="16"/>
          <w:szCs w:val="16"/>
        </w:rPr>
        <w:footnoteRef/>
      </w:r>
      <w:r w:rsidRPr="004354BE">
        <w:rPr>
          <w:rFonts w:ascii="Verdana" w:hAnsi="Verdana" w:cs="Arial"/>
          <w:sz w:val="16"/>
          <w:szCs w:val="16"/>
          <w:lang w:val="es-ES"/>
        </w:rPr>
        <w:t xml:space="preserve"> See Conselho Nacional de Educação (2016). </w:t>
      </w:r>
      <w:r w:rsidRPr="004354BE">
        <w:rPr>
          <w:rFonts w:ascii="Verdana" w:hAnsi="Verdana" w:cs="Arial"/>
          <w:i/>
          <w:sz w:val="16"/>
          <w:szCs w:val="16"/>
          <w:lang w:val="it-IT"/>
        </w:rPr>
        <w:t>O Estado da Educação 2015</w:t>
      </w:r>
      <w:r w:rsidRPr="004354BE">
        <w:rPr>
          <w:rFonts w:ascii="Verdana" w:hAnsi="Verdana" w:cs="Arial"/>
          <w:sz w:val="16"/>
          <w:szCs w:val="16"/>
          <w:lang w:val="it-IT"/>
        </w:rPr>
        <w:t>. Lisboa: Conselho Nacional de Eucação.</w:t>
      </w:r>
    </w:p>
  </w:footnote>
  <w:footnote w:id="20">
    <w:p w14:paraId="3F8B454A" w14:textId="77777777" w:rsidR="00F41B98" w:rsidRPr="00F32E15" w:rsidRDefault="00F41B98" w:rsidP="00F41B98">
      <w:pPr>
        <w:pStyle w:val="FootnoteText"/>
        <w:spacing w:after="0"/>
        <w:ind w:left="0" w:firstLine="0"/>
        <w:jc w:val="left"/>
        <w:rPr>
          <w:rFonts w:cs="Arial"/>
          <w:sz w:val="16"/>
          <w:szCs w:val="16"/>
          <w:lang w:val="en-GB"/>
        </w:rPr>
      </w:pPr>
      <w:r w:rsidRPr="004354BE">
        <w:rPr>
          <w:rStyle w:val="FootnoteReference"/>
          <w:rFonts w:ascii="Verdana" w:hAnsi="Verdana" w:cs="Arial"/>
          <w:sz w:val="16"/>
          <w:szCs w:val="16"/>
        </w:rPr>
        <w:footnoteRef/>
      </w:r>
      <w:r w:rsidRPr="00F32E15">
        <w:rPr>
          <w:rFonts w:ascii="Verdana" w:hAnsi="Verdana" w:cs="Arial"/>
          <w:sz w:val="16"/>
          <w:szCs w:val="16"/>
          <w:lang w:val="en-GB"/>
        </w:rPr>
        <w:t xml:space="preserve"> Data from 2/06/2017 accessed on 15/09/2017 in http://ec.europa.eu/eurostat/statistics-explained/index.php/File:Share_of_the_population_by_level_of_educational_attainment,_by_selected_age_groups_and_country,_2015_(%25).png</w:t>
      </w:r>
    </w:p>
  </w:footnote>
  <w:footnote w:id="21">
    <w:p w14:paraId="5CEE0BC3" w14:textId="77777777" w:rsidR="00F41B98" w:rsidRPr="00F32E15" w:rsidRDefault="00F41B98" w:rsidP="00F41B98">
      <w:pPr>
        <w:spacing w:after="0"/>
        <w:jc w:val="left"/>
        <w:rPr>
          <w:rFonts w:ascii="Verdana" w:hAnsi="Verdana" w:cs="Arial"/>
          <w:sz w:val="16"/>
          <w:szCs w:val="16"/>
          <w:lang w:val="en-GB"/>
        </w:rPr>
      </w:pPr>
      <w:r w:rsidRPr="004354BE">
        <w:rPr>
          <w:rStyle w:val="FootnoteReference"/>
          <w:rFonts w:ascii="Verdana" w:hAnsi="Verdana" w:cs="Arial"/>
          <w:sz w:val="16"/>
          <w:szCs w:val="16"/>
        </w:rPr>
        <w:footnoteRef/>
      </w:r>
      <w:r w:rsidRPr="00F32E15">
        <w:rPr>
          <w:rFonts w:ascii="Verdana" w:hAnsi="Verdana" w:cs="Arial"/>
          <w:sz w:val="16"/>
          <w:szCs w:val="16"/>
          <w:lang w:val="en-GB"/>
        </w:rPr>
        <w:t xml:space="preserve"> OECD (2013). </w:t>
      </w:r>
      <w:r w:rsidRPr="00F32E15">
        <w:rPr>
          <w:rFonts w:ascii="Verdana" w:hAnsi="Verdana" w:cs="Arial"/>
          <w:i/>
          <w:sz w:val="16"/>
          <w:szCs w:val="16"/>
          <w:lang w:val="en-GB"/>
        </w:rPr>
        <w:t xml:space="preserve">Education at a Glance 2016: OECD Indicators, </w:t>
      </w:r>
      <w:r w:rsidRPr="00F32E15">
        <w:rPr>
          <w:rFonts w:ascii="Verdana" w:hAnsi="Verdana" w:cs="Arial"/>
          <w:sz w:val="16"/>
          <w:szCs w:val="16"/>
          <w:lang w:val="en-GB"/>
        </w:rPr>
        <w:t xml:space="preserve">OECD Publishing. </w:t>
      </w:r>
      <w:hyperlink r:id="rId2" w:tgtFrame="_blank" w:tooltip="Education at a Glance 2016" w:history="1">
        <w:r w:rsidRPr="00F32E15">
          <w:rPr>
            <w:rStyle w:val="Hyperlink"/>
            <w:rFonts w:ascii="Verdana" w:hAnsi="Verdana" w:cs="Arial"/>
            <w:sz w:val="16"/>
            <w:szCs w:val="16"/>
            <w:lang w:val="en-GB"/>
          </w:rPr>
          <w:t>10.1787/eag-2016-en</w:t>
        </w:r>
      </w:hyperlink>
    </w:p>
  </w:footnote>
  <w:footnote w:id="22">
    <w:p w14:paraId="3346168D" w14:textId="77777777" w:rsidR="00F41B98" w:rsidRPr="00F32E15" w:rsidRDefault="00F41B98" w:rsidP="00F41B98">
      <w:pPr>
        <w:pStyle w:val="FootnoteText"/>
        <w:spacing w:after="0"/>
        <w:ind w:left="0" w:firstLine="0"/>
        <w:jc w:val="left"/>
        <w:rPr>
          <w:rFonts w:cs="Arial"/>
          <w:sz w:val="16"/>
          <w:szCs w:val="16"/>
          <w:lang w:val="en-GB"/>
        </w:rPr>
      </w:pPr>
      <w:r w:rsidRPr="004354BE">
        <w:rPr>
          <w:rStyle w:val="FootnoteReference"/>
          <w:rFonts w:ascii="Verdana" w:hAnsi="Verdana" w:cs="Arial"/>
          <w:sz w:val="16"/>
          <w:szCs w:val="16"/>
        </w:rPr>
        <w:footnoteRef/>
      </w:r>
      <w:r w:rsidRPr="00F32E15">
        <w:rPr>
          <w:rFonts w:ascii="Verdana" w:hAnsi="Verdana" w:cs="Arial"/>
          <w:sz w:val="16"/>
          <w:szCs w:val="16"/>
          <w:lang w:val="en-GB"/>
        </w:rPr>
        <w:t xml:space="preserve"> Data from 11/02/2016 accessed on 2/06/2017 in http://ec.europa.eu/eurostat/statistics-explained/index.php/File:Share_of_the_population_by_level_of_educational_attainment,_by_selected_age_groups_and_country,_2015_(%25).png</w:t>
      </w:r>
    </w:p>
  </w:footnote>
  <w:footnote w:id="23">
    <w:p w14:paraId="55573FDC" w14:textId="77777777" w:rsidR="00F41B98" w:rsidRPr="004354BE" w:rsidRDefault="00F41B98" w:rsidP="00F41B98">
      <w:pPr>
        <w:pStyle w:val="FootnoteText"/>
        <w:spacing w:after="0"/>
        <w:ind w:left="0" w:firstLine="0"/>
        <w:jc w:val="left"/>
        <w:rPr>
          <w:rFonts w:ascii="Verdana" w:hAnsi="Verdana" w:cs="Arial"/>
          <w:sz w:val="16"/>
          <w:szCs w:val="16"/>
          <w:lang w:val="pt-BR"/>
        </w:rPr>
      </w:pPr>
      <w:r w:rsidRPr="004354BE">
        <w:rPr>
          <w:rStyle w:val="FootnoteReference"/>
          <w:rFonts w:ascii="Verdana" w:hAnsi="Verdana" w:cs="Arial"/>
          <w:sz w:val="16"/>
          <w:szCs w:val="16"/>
        </w:rPr>
        <w:footnoteRef/>
      </w:r>
      <w:r w:rsidRPr="004354BE">
        <w:rPr>
          <w:rFonts w:ascii="Verdana" w:hAnsi="Verdana" w:cs="Arial"/>
          <w:sz w:val="16"/>
          <w:szCs w:val="16"/>
          <w:lang w:val="es-ES"/>
        </w:rPr>
        <w:t xml:space="preserve"> Instituto Nacional de Estatística (2017). </w:t>
      </w:r>
      <w:r w:rsidRPr="004354BE">
        <w:rPr>
          <w:rFonts w:ascii="Verdana" w:hAnsi="Verdana" w:cs="Arial"/>
          <w:i/>
          <w:sz w:val="16"/>
          <w:szCs w:val="16"/>
          <w:lang w:val="es-ES"/>
        </w:rPr>
        <w:t>Empresas em Portugal 2015</w:t>
      </w:r>
      <w:r w:rsidRPr="004354BE">
        <w:rPr>
          <w:rFonts w:ascii="Verdana" w:hAnsi="Verdana" w:cs="Arial"/>
          <w:sz w:val="16"/>
          <w:szCs w:val="16"/>
          <w:lang w:val="es-ES"/>
        </w:rPr>
        <w:t>. Lisboa: Instituto Nacional de Estatística.</w:t>
      </w:r>
    </w:p>
  </w:footnote>
  <w:footnote w:id="24">
    <w:p w14:paraId="0F39B417" w14:textId="77777777" w:rsidR="00F41B98" w:rsidRPr="0092007F" w:rsidRDefault="00F41B98" w:rsidP="00F41B98">
      <w:pPr>
        <w:pStyle w:val="FootnoteText"/>
        <w:spacing w:after="0"/>
        <w:ind w:left="0" w:firstLine="0"/>
        <w:jc w:val="left"/>
        <w:rPr>
          <w:rFonts w:cs="Arial"/>
          <w:sz w:val="16"/>
          <w:szCs w:val="16"/>
          <w:lang w:val="pt-BR"/>
        </w:rPr>
      </w:pPr>
      <w:r w:rsidRPr="004354BE">
        <w:rPr>
          <w:rStyle w:val="FootnoteReference"/>
          <w:rFonts w:ascii="Verdana" w:hAnsi="Verdana" w:cs="Arial"/>
          <w:sz w:val="16"/>
          <w:szCs w:val="16"/>
        </w:rPr>
        <w:footnoteRef/>
      </w:r>
      <w:r w:rsidRPr="004354BE">
        <w:rPr>
          <w:rFonts w:ascii="Verdana" w:hAnsi="Verdana" w:cs="Arial"/>
          <w:sz w:val="16"/>
          <w:szCs w:val="16"/>
          <w:lang w:val="es-ES"/>
        </w:rPr>
        <w:t xml:space="preserve"> Data accessed on 2/06/2017 in http://ec.europa.eu/eurostat/statistics-explained/index.php/Educational_attainment_statistics</w:t>
      </w:r>
    </w:p>
  </w:footnote>
  <w:footnote w:id="25">
    <w:p w14:paraId="273104F3" w14:textId="77777777" w:rsidR="00F41B98" w:rsidRPr="004354BE" w:rsidRDefault="00F41B98" w:rsidP="00F41B98">
      <w:pPr>
        <w:pStyle w:val="FootnoteText"/>
        <w:spacing w:after="0"/>
        <w:ind w:left="0" w:firstLine="0"/>
        <w:jc w:val="left"/>
        <w:rPr>
          <w:rFonts w:ascii="Verdana" w:hAnsi="Verdana" w:cs="Arial"/>
          <w:sz w:val="16"/>
          <w:szCs w:val="16"/>
          <w:lang w:val="pt-BR"/>
        </w:rPr>
      </w:pPr>
      <w:r w:rsidRPr="004354BE">
        <w:rPr>
          <w:rStyle w:val="FootnoteReference"/>
          <w:rFonts w:ascii="Verdana" w:hAnsi="Verdana" w:cs="Arial"/>
          <w:sz w:val="16"/>
          <w:szCs w:val="16"/>
        </w:rPr>
        <w:footnoteRef/>
      </w:r>
      <w:r w:rsidRPr="004354BE">
        <w:rPr>
          <w:rFonts w:ascii="Verdana" w:hAnsi="Verdana" w:cs="Arial"/>
          <w:sz w:val="16"/>
          <w:szCs w:val="16"/>
          <w:lang w:val="pt-PT"/>
        </w:rPr>
        <w:t xml:space="preserve"> See Lima, L. C. (2008). A educação de adultos em Portugal (1974-2004). </w:t>
      </w:r>
      <w:r w:rsidRPr="004354BE">
        <w:rPr>
          <w:rFonts w:ascii="Verdana" w:hAnsi="Verdana" w:cs="Arial"/>
          <w:i/>
          <w:sz w:val="16"/>
          <w:szCs w:val="16"/>
          <w:lang w:val="pt-PT"/>
        </w:rPr>
        <w:t>In</w:t>
      </w:r>
      <w:r w:rsidRPr="004354BE">
        <w:rPr>
          <w:rFonts w:ascii="Verdana" w:hAnsi="Verdana" w:cs="Arial"/>
          <w:sz w:val="16"/>
          <w:szCs w:val="16"/>
          <w:lang w:val="pt-PT"/>
        </w:rPr>
        <w:t xml:space="preserve"> R. Canário and B. Cabrito (orgs.), </w:t>
      </w:r>
      <w:r w:rsidRPr="004354BE">
        <w:rPr>
          <w:rFonts w:ascii="Verdana" w:hAnsi="Verdana" w:cs="Arial"/>
          <w:i/>
          <w:sz w:val="16"/>
          <w:szCs w:val="16"/>
          <w:lang w:val="pt-PT"/>
        </w:rPr>
        <w:t>Educação e Formação de Adultos. Mutações e Convergências</w:t>
      </w:r>
      <w:r w:rsidRPr="004354BE">
        <w:rPr>
          <w:rFonts w:ascii="Verdana" w:hAnsi="Verdana" w:cs="Arial"/>
          <w:sz w:val="16"/>
          <w:szCs w:val="16"/>
          <w:lang w:val="pt-PT"/>
        </w:rPr>
        <w:t>. Lisboa</w:t>
      </w:r>
      <w:proofErr w:type="gramStart"/>
      <w:r w:rsidRPr="004354BE">
        <w:rPr>
          <w:rFonts w:ascii="Verdana" w:hAnsi="Verdana" w:cs="Arial"/>
          <w:sz w:val="16"/>
          <w:szCs w:val="16"/>
          <w:lang w:val="pt-PT"/>
        </w:rPr>
        <w:t>: Educa</w:t>
      </w:r>
      <w:proofErr w:type="gramEnd"/>
      <w:r w:rsidRPr="004354BE">
        <w:rPr>
          <w:rFonts w:ascii="Verdana" w:hAnsi="Verdana" w:cs="Arial"/>
          <w:sz w:val="16"/>
          <w:szCs w:val="16"/>
          <w:lang w:val="pt-PT"/>
        </w:rPr>
        <w:t>, pp. 31-60.</w:t>
      </w:r>
    </w:p>
  </w:footnote>
  <w:footnote w:id="26">
    <w:p w14:paraId="2379604C" w14:textId="77777777" w:rsidR="00F41B98" w:rsidRPr="004354BE" w:rsidRDefault="00F41B98" w:rsidP="00F41B98">
      <w:pPr>
        <w:pStyle w:val="FootnoteText"/>
        <w:spacing w:after="0"/>
        <w:ind w:left="0" w:firstLine="0"/>
        <w:jc w:val="left"/>
        <w:rPr>
          <w:rFonts w:ascii="Verdana" w:hAnsi="Verdana" w:cs="Arial"/>
          <w:sz w:val="16"/>
          <w:szCs w:val="16"/>
          <w:lang w:val="pt-PT"/>
        </w:rPr>
      </w:pPr>
      <w:r w:rsidRPr="004354BE">
        <w:rPr>
          <w:rStyle w:val="FootnoteReference"/>
          <w:rFonts w:ascii="Verdana" w:hAnsi="Verdana" w:cs="Arial"/>
          <w:sz w:val="16"/>
          <w:szCs w:val="16"/>
        </w:rPr>
        <w:footnoteRef/>
      </w:r>
      <w:r w:rsidRPr="004354BE">
        <w:rPr>
          <w:rFonts w:ascii="Verdana" w:hAnsi="Verdana" w:cs="Arial"/>
          <w:sz w:val="16"/>
          <w:szCs w:val="16"/>
          <w:lang w:val="pt-PT"/>
        </w:rPr>
        <w:t xml:space="preserve"> See among others Conselho Nacional de Educação (2015). </w:t>
      </w:r>
      <w:r w:rsidRPr="004354BE">
        <w:rPr>
          <w:rFonts w:ascii="Verdana" w:hAnsi="Verdana" w:cs="Arial"/>
          <w:i/>
          <w:sz w:val="16"/>
          <w:szCs w:val="16"/>
          <w:lang w:val="pt-PT"/>
        </w:rPr>
        <w:t>O Estado da Educação 2014</w:t>
      </w:r>
      <w:r w:rsidRPr="004354BE">
        <w:rPr>
          <w:rFonts w:ascii="Verdana" w:hAnsi="Verdana" w:cs="Arial"/>
          <w:sz w:val="16"/>
          <w:szCs w:val="16"/>
          <w:lang w:val="pt-PT"/>
        </w:rPr>
        <w:t xml:space="preserve">. Lisboa: Conselho Nacional de Educação when referring to PISA performance improvements </w:t>
      </w:r>
      <w:proofErr w:type="gramStart"/>
      <w:r w:rsidRPr="004354BE">
        <w:rPr>
          <w:rFonts w:ascii="Verdana" w:hAnsi="Verdana" w:cs="Arial"/>
          <w:sz w:val="16"/>
          <w:szCs w:val="16"/>
          <w:lang w:val="pt-PT"/>
        </w:rPr>
        <w:t>of Portuguese</w:t>
      </w:r>
      <w:proofErr w:type="gramEnd"/>
      <w:r w:rsidRPr="004354BE">
        <w:rPr>
          <w:rFonts w:ascii="Verdana" w:hAnsi="Verdana" w:cs="Arial"/>
          <w:sz w:val="16"/>
          <w:szCs w:val="16"/>
          <w:lang w:val="pt-PT"/>
        </w:rPr>
        <w:t xml:space="preserve"> students.</w:t>
      </w:r>
    </w:p>
  </w:footnote>
  <w:footnote w:id="27">
    <w:p w14:paraId="027015F6" w14:textId="77777777" w:rsidR="00F41B98" w:rsidRPr="004354BE" w:rsidRDefault="00F41B98" w:rsidP="00F41B98">
      <w:pPr>
        <w:pStyle w:val="FootnoteText"/>
        <w:spacing w:after="0"/>
        <w:ind w:left="0" w:firstLine="0"/>
        <w:jc w:val="left"/>
        <w:rPr>
          <w:rFonts w:ascii="Verdana" w:hAnsi="Verdana" w:cs="Arial"/>
          <w:sz w:val="16"/>
          <w:szCs w:val="16"/>
          <w:lang w:val="pt-BR"/>
        </w:rPr>
      </w:pPr>
      <w:r w:rsidRPr="004354BE">
        <w:rPr>
          <w:rStyle w:val="FootnoteReference"/>
          <w:rFonts w:ascii="Verdana" w:hAnsi="Verdana" w:cs="Arial"/>
          <w:sz w:val="16"/>
          <w:szCs w:val="16"/>
        </w:rPr>
        <w:footnoteRef/>
      </w:r>
      <w:r w:rsidRPr="004354BE">
        <w:rPr>
          <w:rFonts w:ascii="Verdana" w:hAnsi="Verdana" w:cs="Arial"/>
          <w:sz w:val="16"/>
          <w:szCs w:val="16"/>
          <w:lang w:val="pt-PT"/>
        </w:rPr>
        <w:t xml:space="preserve"> In Portuguese</w:t>
      </w:r>
      <w:r w:rsidRPr="004354BE">
        <w:rPr>
          <w:rFonts w:ascii="Verdana" w:hAnsi="Verdana" w:cs="Arial"/>
          <w:strike/>
          <w:sz w:val="16"/>
          <w:szCs w:val="16"/>
          <w:lang w:val="pt-PT"/>
        </w:rPr>
        <w:t xml:space="preserve"> </w:t>
      </w:r>
      <w:r w:rsidRPr="004354BE">
        <w:rPr>
          <w:rFonts w:ascii="Verdana" w:hAnsi="Verdana" w:cs="Arial"/>
          <w:i/>
          <w:sz w:val="16"/>
          <w:szCs w:val="16"/>
          <w:lang w:val="pt-PT"/>
        </w:rPr>
        <w:t>Quadro de Referência Estratégica Nacional</w:t>
      </w:r>
      <w:r w:rsidRPr="004354BE">
        <w:rPr>
          <w:rFonts w:ascii="Verdana" w:hAnsi="Verdana" w:cs="Arial"/>
          <w:sz w:val="16"/>
          <w:szCs w:val="16"/>
          <w:lang w:val="pt-PT"/>
        </w:rPr>
        <w:t xml:space="preserve"> – QREN.</w:t>
      </w:r>
    </w:p>
  </w:footnote>
  <w:footnote w:id="28">
    <w:p w14:paraId="21072362" w14:textId="77777777" w:rsidR="00F41B98" w:rsidRPr="004354BE" w:rsidRDefault="00F41B98" w:rsidP="00F41B98">
      <w:pPr>
        <w:pStyle w:val="FootnoteText"/>
        <w:spacing w:after="0"/>
        <w:ind w:left="0" w:firstLine="0"/>
        <w:jc w:val="left"/>
        <w:rPr>
          <w:rFonts w:ascii="Verdana" w:hAnsi="Verdana" w:cs="Arial"/>
          <w:sz w:val="16"/>
          <w:szCs w:val="16"/>
          <w:lang w:val="pt-PT"/>
        </w:rPr>
      </w:pPr>
      <w:r w:rsidRPr="004354BE">
        <w:rPr>
          <w:rStyle w:val="FootnoteReference"/>
          <w:rFonts w:ascii="Verdana" w:hAnsi="Verdana" w:cs="Arial"/>
          <w:sz w:val="16"/>
          <w:szCs w:val="16"/>
        </w:rPr>
        <w:footnoteRef/>
      </w:r>
      <w:r w:rsidRPr="004354BE">
        <w:rPr>
          <w:rFonts w:ascii="Verdana" w:hAnsi="Verdana" w:cs="Arial"/>
          <w:sz w:val="16"/>
          <w:szCs w:val="16"/>
          <w:lang w:val="pt-PT"/>
        </w:rPr>
        <w:t xml:space="preserve"> See Mateus, A. (</w:t>
      </w:r>
      <w:proofErr w:type="gramStart"/>
      <w:r w:rsidRPr="004354BE">
        <w:rPr>
          <w:rFonts w:ascii="Verdana" w:hAnsi="Verdana" w:cs="Arial"/>
          <w:sz w:val="16"/>
          <w:szCs w:val="16"/>
          <w:lang w:val="pt-PT"/>
        </w:rPr>
        <w:t>coord.)(</w:t>
      </w:r>
      <w:proofErr w:type="gramEnd"/>
      <w:r w:rsidRPr="004354BE">
        <w:rPr>
          <w:rFonts w:ascii="Verdana" w:hAnsi="Verdana" w:cs="Arial"/>
          <w:sz w:val="16"/>
          <w:szCs w:val="16"/>
          <w:lang w:val="pt-PT"/>
        </w:rPr>
        <w:t xml:space="preserve">2015). </w:t>
      </w:r>
      <w:r w:rsidRPr="004354BE">
        <w:rPr>
          <w:rFonts w:ascii="Verdana" w:hAnsi="Verdana" w:cs="Arial"/>
          <w:i/>
          <w:sz w:val="16"/>
          <w:szCs w:val="16"/>
          <w:lang w:val="pt-PT"/>
        </w:rPr>
        <w:t>Três Décadas de Portugal Europeu. Balanço e Perspectivas</w:t>
      </w:r>
      <w:r w:rsidRPr="004354BE">
        <w:rPr>
          <w:rFonts w:ascii="Verdana" w:hAnsi="Verdana" w:cs="Arial"/>
          <w:sz w:val="16"/>
          <w:szCs w:val="16"/>
          <w:lang w:val="pt-PT"/>
        </w:rPr>
        <w:t>. Lisboa: Fundação Francisco Manuel dos Santos.</w:t>
      </w:r>
    </w:p>
  </w:footnote>
  <w:footnote w:id="29">
    <w:p w14:paraId="29E5361B" w14:textId="77777777" w:rsidR="00F41B98" w:rsidRPr="004354BE" w:rsidRDefault="00F41B98" w:rsidP="00F41B98">
      <w:pPr>
        <w:pStyle w:val="FootnoteText"/>
        <w:spacing w:after="0"/>
        <w:ind w:left="0" w:firstLine="0"/>
        <w:jc w:val="left"/>
        <w:rPr>
          <w:rFonts w:ascii="Verdana" w:hAnsi="Verdana" w:cs="Arial"/>
          <w:sz w:val="16"/>
          <w:szCs w:val="16"/>
          <w:lang w:val="pt-BR"/>
        </w:rPr>
      </w:pPr>
      <w:r w:rsidRPr="004354BE">
        <w:rPr>
          <w:rStyle w:val="FootnoteReference"/>
          <w:rFonts w:ascii="Verdana" w:hAnsi="Verdana" w:cs="Arial"/>
          <w:sz w:val="16"/>
          <w:szCs w:val="16"/>
        </w:rPr>
        <w:footnoteRef/>
      </w:r>
      <w:r w:rsidRPr="004354BE">
        <w:rPr>
          <w:rFonts w:ascii="Verdana" w:hAnsi="Verdana" w:cs="Arial"/>
          <w:sz w:val="16"/>
          <w:szCs w:val="16"/>
          <w:lang w:val="pt-PT"/>
        </w:rPr>
        <w:t xml:space="preserve"> Data accessed on 18/09/2017 in https://www.pordata.pt/Portugal/Grau+de+exposição+ao+comércio+internacional+total+e+por+produto-2276</w:t>
      </w:r>
    </w:p>
  </w:footnote>
  <w:footnote w:id="30">
    <w:p w14:paraId="59596992" w14:textId="77777777" w:rsidR="00F41B98" w:rsidRPr="004354BE" w:rsidRDefault="00F41B98" w:rsidP="00F41B98">
      <w:pPr>
        <w:pStyle w:val="FootnoteText"/>
        <w:spacing w:after="0"/>
        <w:ind w:left="0" w:firstLine="0"/>
        <w:jc w:val="left"/>
        <w:rPr>
          <w:rFonts w:ascii="Verdana" w:hAnsi="Verdana" w:cs="Arial"/>
          <w:b/>
          <w:sz w:val="16"/>
          <w:szCs w:val="16"/>
          <w:lang w:val="pt-BR"/>
        </w:rPr>
      </w:pPr>
      <w:r w:rsidRPr="004354BE">
        <w:rPr>
          <w:rStyle w:val="FootnoteReference"/>
          <w:rFonts w:ascii="Verdana" w:hAnsi="Verdana" w:cs="Arial"/>
          <w:sz w:val="16"/>
          <w:szCs w:val="16"/>
        </w:rPr>
        <w:footnoteRef/>
      </w:r>
      <w:r w:rsidRPr="004354BE">
        <w:rPr>
          <w:rFonts w:ascii="Verdana" w:hAnsi="Verdana" w:cs="Arial"/>
          <w:sz w:val="16"/>
          <w:szCs w:val="16"/>
          <w:lang w:val="pt-PT"/>
        </w:rPr>
        <w:t xml:space="preserve"> In Portuguese </w:t>
      </w:r>
      <w:r w:rsidRPr="004354BE">
        <w:rPr>
          <w:rFonts w:ascii="Verdana" w:hAnsi="Verdana" w:cs="Arial"/>
          <w:i/>
          <w:sz w:val="16"/>
          <w:szCs w:val="16"/>
          <w:lang w:val="pt-PT"/>
        </w:rPr>
        <w:t>Programa Qualifica</w:t>
      </w:r>
      <w:r w:rsidRPr="004354BE">
        <w:rPr>
          <w:rFonts w:ascii="Verdana" w:hAnsi="Verdana" w:cs="Arial"/>
          <w:sz w:val="16"/>
          <w:szCs w:val="16"/>
          <w:lang w:val="pt-PT"/>
        </w:rPr>
        <w:t xml:space="preserve"> (Qualify programme) https://www.qualifica.gov.pt/#/</w:t>
      </w:r>
    </w:p>
  </w:footnote>
  <w:footnote w:id="31">
    <w:p w14:paraId="5633F5FB" w14:textId="77777777" w:rsidR="00F41B98" w:rsidRPr="004354BE" w:rsidRDefault="00F41B98" w:rsidP="00F41B98">
      <w:pPr>
        <w:pStyle w:val="FootnoteText"/>
        <w:spacing w:after="0"/>
        <w:ind w:left="0" w:firstLine="0"/>
        <w:jc w:val="left"/>
        <w:rPr>
          <w:rFonts w:ascii="Verdana" w:hAnsi="Verdana" w:cs="Arial"/>
          <w:sz w:val="16"/>
          <w:szCs w:val="16"/>
          <w:lang w:val="pt-BR"/>
        </w:rPr>
      </w:pPr>
      <w:r w:rsidRPr="004354BE">
        <w:rPr>
          <w:rStyle w:val="FootnoteReference"/>
          <w:rFonts w:ascii="Verdana" w:hAnsi="Verdana" w:cs="Arial"/>
          <w:sz w:val="16"/>
          <w:szCs w:val="16"/>
        </w:rPr>
        <w:footnoteRef/>
      </w:r>
      <w:r w:rsidRPr="004354BE">
        <w:rPr>
          <w:rFonts w:ascii="Verdana" w:hAnsi="Verdana" w:cs="Arial"/>
          <w:sz w:val="16"/>
          <w:szCs w:val="16"/>
          <w:lang w:val="pt-PT"/>
        </w:rPr>
        <w:t xml:space="preserve"> </w:t>
      </w:r>
      <w:proofErr w:type="gramStart"/>
      <w:r w:rsidRPr="004354BE">
        <w:rPr>
          <w:rFonts w:ascii="Verdana" w:hAnsi="Verdana" w:cs="Arial"/>
          <w:sz w:val="16"/>
          <w:szCs w:val="16"/>
          <w:lang w:val="pt-PT"/>
        </w:rPr>
        <w:t>In Portuguese</w:t>
      </w:r>
      <w:proofErr w:type="gramEnd"/>
      <w:r w:rsidRPr="004354BE">
        <w:rPr>
          <w:rFonts w:ascii="Verdana" w:hAnsi="Verdana" w:cs="Arial"/>
          <w:sz w:val="16"/>
          <w:szCs w:val="16"/>
          <w:lang w:val="pt-PT"/>
        </w:rPr>
        <w:t xml:space="preserve"> it is called </w:t>
      </w:r>
      <w:r w:rsidRPr="004354BE">
        <w:rPr>
          <w:rFonts w:ascii="Verdana" w:hAnsi="Verdana" w:cs="Arial"/>
          <w:i/>
          <w:sz w:val="16"/>
          <w:szCs w:val="16"/>
          <w:lang w:val="pt-PT"/>
        </w:rPr>
        <w:t>ensino recorrente</w:t>
      </w:r>
      <w:r w:rsidRPr="004354BE">
        <w:rPr>
          <w:rFonts w:ascii="Verdana" w:hAnsi="Verdana" w:cs="Arial"/>
          <w:sz w:val="16"/>
          <w:szCs w:val="16"/>
          <w:lang w:val="pt-PT"/>
        </w:rPr>
        <w:t>.</w:t>
      </w:r>
    </w:p>
  </w:footnote>
  <w:footnote w:id="32">
    <w:p w14:paraId="22708643" w14:textId="77777777" w:rsidR="00F41B98" w:rsidRPr="004354BE" w:rsidRDefault="00F41B98" w:rsidP="00F41B98">
      <w:pPr>
        <w:pStyle w:val="FootnoteText"/>
        <w:spacing w:after="0"/>
        <w:ind w:left="0" w:firstLine="0"/>
        <w:jc w:val="left"/>
        <w:rPr>
          <w:rFonts w:ascii="Verdana" w:hAnsi="Verdana" w:cs="Arial"/>
          <w:sz w:val="16"/>
          <w:szCs w:val="16"/>
          <w:lang w:val="en-US"/>
        </w:rPr>
      </w:pPr>
      <w:r w:rsidRPr="004354BE">
        <w:rPr>
          <w:rStyle w:val="FootnoteReference"/>
          <w:rFonts w:ascii="Verdana" w:hAnsi="Verdana" w:cs="Arial"/>
          <w:sz w:val="16"/>
          <w:szCs w:val="16"/>
        </w:rPr>
        <w:footnoteRef/>
      </w:r>
      <w:r w:rsidRPr="004354BE">
        <w:rPr>
          <w:rFonts w:ascii="Verdana" w:hAnsi="Verdana" w:cs="Arial"/>
          <w:strike/>
          <w:sz w:val="16"/>
          <w:szCs w:val="16"/>
          <w:lang w:val="pt-PT"/>
        </w:rPr>
        <w:t xml:space="preserve"> </w:t>
      </w:r>
      <w:r w:rsidRPr="004354BE">
        <w:rPr>
          <w:rFonts w:ascii="Verdana" w:hAnsi="Verdana" w:cs="Arial"/>
          <w:sz w:val="16"/>
          <w:szCs w:val="16"/>
          <w:lang w:val="pt-PT"/>
        </w:rPr>
        <w:t xml:space="preserve">In Portuguese </w:t>
      </w:r>
      <w:r w:rsidRPr="004354BE">
        <w:rPr>
          <w:rFonts w:ascii="Verdana" w:hAnsi="Verdana" w:cs="Arial"/>
          <w:i/>
          <w:sz w:val="16"/>
          <w:szCs w:val="16"/>
          <w:lang w:val="pt-PT"/>
        </w:rPr>
        <w:t>Maiores de 23</w:t>
      </w:r>
      <w:r w:rsidRPr="004354BE">
        <w:rPr>
          <w:rFonts w:ascii="Verdana" w:hAnsi="Verdana" w:cs="Arial"/>
          <w:sz w:val="16"/>
          <w:szCs w:val="16"/>
          <w:lang w:val="pt-PT"/>
        </w:rPr>
        <w:t xml:space="preserve"> (Older than 23 programme) (Decreto-lei n.º 107/2008, 26/06). </w:t>
      </w:r>
      <w:r w:rsidRPr="00F32E15">
        <w:rPr>
          <w:rFonts w:ascii="Verdana" w:hAnsi="Verdana" w:cs="Arial"/>
          <w:sz w:val="16"/>
          <w:szCs w:val="16"/>
          <w:lang w:val="en-GB"/>
        </w:rPr>
        <w:t xml:space="preserve">For more information see </w:t>
      </w:r>
      <w:hyperlink r:id="rId3" w:history="1">
        <w:r w:rsidRPr="00F32E15">
          <w:rPr>
            <w:rStyle w:val="Hyperlink"/>
            <w:rFonts w:ascii="Verdana" w:hAnsi="Verdana" w:cs="Arial"/>
            <w:sz w:val="16"/>
            <w:szCs w:val="16"/>
            <w:lang w:val="en-GB"/>
          </w:rPr>
          <w:t>http://www.dges.mctes.pt/DGES/pt/Estudantes/Acesso/ConcursosEspeciais/Legislacao/</w:t>
        </w:r>
      </w:hyperlink>
      <w:r w:rsidRPr="00F32E15">
        <w:rPr>
          <w:rFonts w:ascii="Verdana" w:hAnsi="Verdana" w:cs="Arial"/>
          <w:sz w:val="16"/>
          <w:szCs w:val="16"/>
          <w:lang w:val="en-GB"/>
        </w:rPr>
        <w:t>, accessed on 29.09.2017.</w:t>
      </w:r>
    </w:p>
  </w:footnote>
  <w:footnote w:id="33">
    <w:p w14:paraId="51DB7747" w14:textId="77777777" w:rsidR="00F41B98" w:rsidRPr="004354BE" w:rsidRDefault="00F41B98" w:rsidP="00F41B98">
      <w:pPr>
        <w:pStyle w:val="FootnoteText"/>
        <w:spacing w:after="0"/>
        <w:ind w:left="0" w:firstLine="0"/>
        <w:jc w:val="left"/>
        <w:rPr>
          <w:rFonts w:ascii="Verdana" w:hAnsi="Verdana" w:cs="Arial"/>
          <w:sz w:val="16"/>
          <w:szCs w:val="16"/>
          <w:lang w:val="pt-BR"/>
        </w:rPr>
      </w:pPr>
      <w:r w:rsidRPr="004354BE">
        <w:rPr>
          <w:rStyle w:val="FootnoteReference"/>
          <w:rFonts w:ascii="Verdana" w:hAnsi="Verdana" w:cs="Arial"/>
          <w:sz w:val="16"/>
          <w:szCs w:val="16"/>
        </w:rPr>
        <w:footnoteRef/>
      </w:r>
      <w:r w:rsidRPr="004354BE">
        <w:rPr>
          <w:rFonts w:ascii="Verdana" w:hAnsi="Verdana" w:cs="Arial"/>
          <w:sz w:val="16"/>
          <w:szCs w:val="16"/>
          <w:lang w:val="pt-BR"/>
        </w:rPr>
        <w:t xml:space="preserve"> </w:t>
      </w:r>
      <w:r w:rsidRPr="004354BE">
        <w:rPr>
          <w:rFonts w:ascii="Verdana" w:hAnsi="Verdana" w:cs="Arial"/>
          <w:sz w:val="16"/>
          <w:szCs w:val="16"/>
          <w:lang w:val="pt-BR"/>
        </w:rPr>
        <w:t xml:space="preserve">In Portuguese </w:t>
      </w:r>
      <w:r w:rsidRPr="004354BE">
        <w:rPr>
          <w:rFonts w:ascii="Verdana" w:hAnsi="Verdana" w:cs="Arial"/>
          <w:i/>
          <w:sz w:val="16"/>
          <w:szCs w:val="16"/>
          <w:lang w:val="pt-BR"/>
        </w:rPr>
        <w:t>reconhecimento de aprendizagens não formais e informais</w:t>
      </w:r>
      <w:r w:rsidRPr="004354BE">
        <w:rPr>
          <w:rFonts w:ascii="Verdana" w:hAnsi="Verdana" w:cs="Arial"/>
          <w:sz w:val="16"/>
          <w:szCs w:val="16"/>
          <w:lang w:val="pt-BR"/>
        </w:rPr>
        <w:t>.</w:t>
      </w:r>
    </w:p>
  </w:footnote>
  <w:footnote w:id="34">
    <w:p w14:paraId="6B7BCECF" w14:textId="77777777" w:rsidR="00F41B98" w:rsidRPr="004354BE" w:rsidRDefault="00F41B98" w:rsidP="00F41B98">
      <w:pPr>
        <w:pStyle w:val="FootnoteText"/>
        <w:spacing w:after="0"/>
        <w:ind w:left="0" w:firstLine="0"/>
        <w:jc w:val="left"/>
        <w:rPr>
          <w:rFonts w:ascii="Verdana" w:hAnsi="Verdana" w:cs="Arial"/>
          <w:sz w:val="16"/>
          <w:szCs w:val="16"/>
          <w:lang w:val="pt-BR"/>
        </w:rPr>
      </w:pPr>
      <w:r w:rsidRPr="004354BE">
        <w:rPr>
          <w:rStyle w:val="FootnoteReference"/>
          <w:rFonts w:ascii="Verdana" w:hAnsi="Verdana" w:cs="Arial"/>
          <w:sz w:val="16"/>
          <w:szCs w:val="16"/>
        </w:rPr>
        <w:footnoteRef/>
      </w:r>
      <w:r w:rsidRPr="004354BE">
        <w:rPr>
          <w:rFonts w:ascii="Verdana" w:hAnsi="Verdana" w:cs="Arial"/>
          <w:sz w:val="16"/>
          <w:szCs w:val="16"/>
          <w:lang w:val="pt-PT"/>
        </w:rPr>
        <w:t xml:space="preserve"> In Portuguese </w:t>
      </w:r>
      <w:r w:rsidRPr="004354BE">
        <w:rPr>
          <w:rFonts w:ascii="Verdana" w:hAnsi="Verdana" w:cs="Arial"/>
          <w:i/>
          <w:sz w:val="16"/>
          <w:szCs w:val="16"/>
          <w:lang w:val="pt-PT"/>
        </w:rPr>
        <w:t>Curso Técnico Superior Profissional</w:t>
      </w:r>
      <w:r w:rsidRPr="004354BE">
        <w:rPr>
          <w:rFonts w:ascii="Verdana" w:hAnsi="Verdana" w:cs="Arial"/>
          <w:sz w:val="16"/>
          <w:szCs w:val="16"/>
          <w:lang w:val="pt-PT"/>
        </w:rPr>
        <w:t>.</w:t>
      </w:r>
    </w:p>
  </w:footnote>
  <w:footnote w:id="35">
    <w:p w14:paraId="07B9CA3F" w14:textId="77777777" w:rsidR="00F41B98" w:rsidRPr="004354BE" w:rsidRDefault="00F41B98" w:rsidP="00F41B98">
      <w:pPr>
        <w:pStyle w:val="FootnoteText"/>
        <w:spacing w:after="0"/>
        <w:ind w:left="0" w:firstLine="0"/>
        <w:jc w:val="left"/>
        <w:rPr>
          <w:rFonts w:ascii="Verdana" w:hAnsi="Verdana" w:cs="Arial"/>
          <w:sz w:val="16"/>
          <w:szCs w:val="16"/>
          <w:lang w:val="pt-BR"/>
        </w:rPr>
      </w:pPr>
      <w:r w:rsidRPr="004354BE">
        <w:rPr>
          <w:rStyle w:val="FootnoteReference"/>
          <w:rFonts w:ascii="Verdana" w:hAnsi="Verdana" w:cs="Arial"/>
          <w:sz w:val="16"/>
          <w:szCs w:val="16"/>
        </w:rPr>
        <w:footnoteRef/>
      </w:r>
      <w:r w:rsidRPr="004354BE">
        <w:rPr>
          <w:rFonts w:ascii="Verdana" w:hAnsi="Verdana" w:cs="Arial"/>
          <w:sz w:val="16"/>
          <w:szCs w:val="16"/>
          <w:lang w:val="pt-PT"/>
        </w:rPr>
        <w:t xml:space="preserve"> Decreto-lei n.º 115/2013, 07/08.</w:t>
      </w:r>
    </w:p>
  </w:footnote>
  <w:footnote w:id="36">
    <w:p w14:paraId="7D908DDA" w14:textId="77777777" w:rsidR="00F41B98" w:rsidRPr="0092007F" w:rsidRDefault="00F41B98" w:rsidP="00F41B98">
      <w:pPr>
        <w:pStyle w:val="FootnoteText"/>
        <w:spacing w:after="0"/>
        <w:ind w:left="0" w:firstLine="0"/>
        <w:jc w:val="left"/>
        <w:rPr>
          <w:rFonts w:cs="Arial"/>
          <w:sz w:val="16"/>
          <w:szCs w:val="16"/>
          <w:lang w:val="pt-BR"/>
        </w:rPr>
      </w:pPr>
      <w:r w:rsidRPr="004354BE">
        <w:rPr>
          <w:rStyle w:val="FootnoteReference"/>
          <w:rFonts w:ascii="Verdana" w:hAnsi="Verdana" w:cs="Arial"/>
          <w:sz w:val="16"/>
          <w:szCs w:val="16"/>
        </w:rPr>
        <w:footnoteRef/>
      </w:r>
      <w:r w:rsidRPr="004354BE">
        <w:rPr>
          <w:rFonts w:ascii="Verdana" w:hAnsi="Verdana" w:cs="Arial"/>
          <w:sz w:val="16"/>
          <w:szCs w:val="16"/>
          <w:lang w:val="pt-PT"/>
        </w:rPr>
        <w:t xml:space="preserve"> Decreto-Lei n.º 74/2006, 24/03; Decreto-Lei n.º 63/2016, 13/09.</w:t>
      </w:r>
    </w:p>
  </w:footnote>
  <w:footnote w:id="37">
    <w:p w14:paraId="2D9EE287" w14:textId="77777777" w:rsidR="00F41B98" w:rsidRPr="004354BE" w:rsidRDefault="00F41B98" w:rsidP="00F41B98">
      <w:pPr>
        <w:pStyle w:val="FootnoteText"/>
        <w:spacing w:after="0"/>
        <w:ind w:left="0" w:firstLine="0"/>
        <w:jc w:val="left"/>
        <w:rPr>
          <w:rFonts w:ascii="Verdana" w:hAnsi="Verdana" w:cs="Arial"/>
          <w:sz w:val="16"/>
          <w:szCs w:val="16"/>
          <w:lang w:val="pt-BR"/>
        </w:rPr>
      </w:pPr>
      <w:r w:rsidRPr="004354BE">
        <w:rPr>
          <w:rStyle w:val="FootnoteReference"/>
          <w:rFonts w:ascii="Verdana" w:hAnsi="Verdana" w:cs="Arial"/>
          <w:sz w:val="16"/>
          <w:szCs w:val="16"/>
        </w:rPr>
        <w:footnoteRef/>
      </w:r>
      <w:r w:rsidRPr="00F32E15">
        <w:rPr>
          <w:rFonts w:ascii="Verdana" w:hAnsi="Verdana" w:cs="Arial"/>
          <w:sz w:val="16"/>
          <w:szCs w:val="16"/>
          <w:lang w:val="en-GB"/>
        </w:rPr>
        <w:t xml:space="preserve"> </w:t>
      </w:r>
      <w:r w:rsidRPr="00F32E15">
        <w:rPr>
          <w:rFonts w:ascii="Verdana" w:hAnsi="Verdana" w:cs="Arial"/>
          <w:color w:val="000000" w:themeColor="text1"/>
          <w:sz w:val="16"/>
          <w:szCs w:val="16"/>
          <w:lang w:val="en-GB"/>
        </w:rPr>
        <w:t>According to data from 2015-2016, 6.1% (2,827 adult learners) attend public higher education institutions and 14% (1,675 adult learners) attend private higher education institutions as students of the 1</w:t>
      </w:r>
      <w:r w:rsidRPr="00F32E15">
        <w:rPr>
          <w:rFonts w:ascii="Verdana" w:hAnsi="Verdana" w:cs="Arial"/>
          <w:color w:val="000000" w:themeColor="text1"/>
          <w:sz w:val="16"/>
          <w:szCs w:val="16"/>
          <w:vertAlign w:val="superscript"/>
          <w:lang w:val="en-GB"/>
        </w:rPr>
        <w:t>st</w:t>
      </w:r>
      <w:r w:rsidRPr="00F32E15">
        <w:rPr>
          <w:rFonts w:ascii="Verdana" w:hAnsi="Verdana" w:cs="Arial"/>
          <w:color w:val="000000" w:themeColor="text1"/>
          <w:sz w:val="16"/>
          <w:szCs w:val="16"/>
          <w:lang w:val="en-GB"/>
        </w:rPr>
        <w:t xml:space="preserve"> bachelor’s degree year after applying to the Older than 23 programme (data accessed on 9/10/2017 in http://infocursos.mec.pt).</w:t>
      </w:r>
    </w:p>
  </w:footnote>
  <w:footnote w:id="38">
    <w:p w14:paraId="4365121C" w14:textId="77777777" w:rsidR="00F41B98" w:rsidRPr="0092007F" w:rsidRDefault="00F41B98" w:rsidP="00F41B98">
      <w:pPr>
        <w:pStyle w:val="FootnoteText"/>
        <w:spacing w:after="0"/>
        <w:ind w:left="0" w:firstLine="0"/>
        <w:jc w:val="left"/>
        <w:rPr>
          <w:rFonts w:cs="Arial"/>
          <w:sz w:val="16"/>
          <w:szCs w:val="16"/>
          <w:lang w:val="pt-BR"/>
        </w:rPr>
      </w:pPr>
      <w:r w:rsidRPr="004354BE">
        <w:rPr>
          <w:rStyle w:val="FootnoteReference"/>
          <w:rFonts w:ascii="Verdana" w:hAnsi="Verdana" w:cs="Arial"/>
          <w:sz w:val="16"/>
          <w:szCs w:val="16"/>
        </w:rPr>
        <w:footnoteRef/>
      </w:r>
      <w:r w:rsidRPr="004354BE">
        <w:rPr>
          <w:rFonts w:ascii="Verdana" w:hAnsi="Verdana" w:cs="Arial"/>
          <w:sz w:val="16"/>
          <w:szCs w:val="16"/>
          <w:lang w:val="pt-PT"/>
        </w:rPr>
        <w:t xml:space="preserve"> These courses are based on short term duration modules – in Portuguese </w:t>
      </w:r>
      <w:r w:rsidRPr="004354BE">
        <w:rPr>
          <w:rFonts w:ascii="Verdana" w:hAnsi="Verdana" w:cs="Arial"/>
          <w:i/>
          <w:sz w:val="16"/>
          <w:szCs w:val="16"/>
          <w:lang w:val="pt-PT"/>
        </w:rPr>
        <w:t>Unidades de Formação de Curta Duração</w:t>
      </w:r>
      <w:r w:rsidRPr="004354BE">
        <w:rPr>
          <w:rFonts w:ascii="Verdana" w:hAnsi="Verdana" w:cs="Arial"/>
          <w:sz w:val="16"/>
          <w:szCs w:val="16"/>
          <w:lang w:val="pt-PT"/>
        </w:rPr>
        <w:t xml:space="preserve"> (Portaria n.º 1100/2010, 22/10; Portaria n.º 216-C/2012, 18/07).</w:t>
      </w:r>
    </w:p>
  </w:footnote>
  <w:footnote w:id="39">
    <w:p w14:paraId="14B6DEEA" w14:textId="77777777" w:rsidR="00F41B98" w:rsidRPr="004354BE" w:rsidRDefault="00F41B98" w:rsidP="00F41B98">
      <w:pPr>
        <w:spacing w:after="0"/>
        <w:jc w:val="left"/>
        <w:rPr>
          <w:rFonts w:ascii="Verdana" w:hAnsi="Verdana" w:cs="Arial"/>
          <w:sz w:val="16"/>
          <w:szCs w:val="16"/>
          <w:lang w:val="pt-PT"/>
        </w:rPr>
      </w:pPr>
      <w:r w:rsidRPr="004354BE">
        <w:rPr>
          <w:rStyle w:val="FootnoteReference"/>
          <w:rFonts w:ascii="Verdana" w:hAnsi="Verdana" w:cs="Arial"/>
          <w:sz w:val="16"/>
          <w:szCs w:val="16"/>
        </w:rPr>
        <w:footnoteRef/>
      </w:r>
      <w:r w:rsidRPr="004354BE">
        <w:rPr>
          <w:rFonts w:ascii="Verdana" w:hAnsi="Verdana" w:cs="Arial"/>
          <w:sz w:val="16"/>
          <w:szCs w:val="16"/>
          <w:lang w:val="it-IT"/>
        </w:rPr>
        <w:t xml:space="preserve"> According to Lima, L. C. et al. (1988). </w:t>
      </w:r>
      <w:r w:rsidRPr="004354BE">
        <w:rPr>
          <w:rFonts w:ascii="Verdana" w:hAnsi="Verdana" w:cs="Arial"/>
          <w:i/>
          <w:sz w:val="16"/>
          <w:szCs w:val="16"/>
          <w:lang w:val="it-IT"/>
        </w:rPr>
        <w:t>Documentos Preparatórios III. Comissão de Reforma do Sistema Educativo</w:t>
      </w:r>
      <w:r w:rsidRPr="004354BE">
        <w:rPr>
          <w:rFonts w:ascii="Verdana" w:hAnsi="Verdana" w:cs="Arial"/>
          <w:sz w:val="16"/>
          <w:szCs w:val="16"/>
          <w:lang w:val="it-IT"/>
        </w:rPr>
        <w:t xml:space="preserve">. Lisboa: Ministério da Educação and Canário (2013). </w:t>
      </w:r>
      <w:r w:rsidRPr="004354BE">
        <w:rPr>
          <w:rFonts w:ascii="Verdana" w:hAnsi="Verdana" w:cs="Arial"/>
          <w:i/>
          <w:sz w:val="16"/>
          <w:szCs w:val="16"/>
          <w:lang w:val="pt-PT"/>
        </w:rPr>
        <w:t>Educação de Adultos. Um Campo, Uma Problemática</w:t>
      </w:r>
      <w:r w:rsidRPr="004354BE">
        <w:rPr>
          <w:rFonts w:ascii="Verdana" w:hAnsi="Verdana" w:cs="Arial"/>
          <w:sz w:val="16"/>
          <w:szCs w:val="16"/>
          <w:lang w:val="pt-PT"/>
        </w:rPr>
        <w:t>. Lisboa: EDUCA, among other authors.</w:t>
      </w:r>
    </w:p>
  </w:footnote>
  <w:footnote w:id="40">
    <w:p w14:paraId="469269B2" w14:textId="77777777" w:rsidR="00F41B98" w:rsidRPr="00F32E15" w:rsidRDefault="00F41B98" w:rsidP="00F41B98">
      <w:pPr>
        <w:pStyle w:val="FootnoteText"/>
        <w:spacing w:after="0"/>
        <w:ind w:left="0" w:firstLine="0"/>
        <w:jc w:val="left"/>
        <w:rPr>
          <w:rFonts w:ascii="Verdana" w:hAnsi="Verdana" w:cs="Arial"/>
          <w:sz w:val="16"/>
          <w:szCs w:val="16"/>
          <w:lang w:val="en-GB"/>
        </w:rPr>
      </w:pPr>
      <w:r w:rsidRPr="004354BE">
        <w:rPr>
          <w:rStyle w:val="FootnoteReference"/>
          <w:rFonts w:ascii="Verdana" w:hAnsi="Verdana" w:cs="Arial"/>
          <w:sz w:val="16"/>
          <w:szCs w:val="16"/>
        </w:rPr>
        <w:footnoteRef/>
      </w:r>
      <w:r w:rsidRPr="004354BE">
        <w:rPr>
          <w:rFonts w:ascii="Verdana" w:hAnsi="Verdana" w:cs="Arial"/>
          <w:sz w:val="16"/>
          <w:szCs w:val="16"/>
          <w:lang w:val="pt-PT"/>
        </w:rPr>
        <w:t xml:space="preserve"> Several other authors claim that these are adult education domains to be considered, such as Cavaco, C (2009) </w:t>
      </w:r>
      <w:r w:rsidRPr="004354BE">
        <w:rPr>
          <w:rFonts w:ascii="Verdana" w:hAnsi="Verdana" w:cs="Arial"/>
          <w:i/>
          <w:sz w:val="16"/>
          <w:szCs w:val="16"/>
          <w:lang w:val="pt-PT"/>
        </w:rPr>
        <w:t>Adultos Pouco Escolarizados – Políticas e Práticas de Formação</w:t>
      </w:r>
      <w:r w:rsidRPr="004354BE">
        <w:rPr>
          <w:rFonts w:ascii="Verdana" w:hAnsi="Verdana" w:cs="Arial"/>
          <w:sz w:val="16"/>
          <w:szCs w:val="16"/>
          <w:lang w:val="pt-PT"/>
        </w:rPr>
        <w:t xml:space="preserve">. Lisboa: EDUCA - UI&amp;DCE, and Alves et al. (2016). </w:t>
      </w:r>
      <w:r w:rsidRPr="004354BE">
        <w:rPr>
          <w:rFonts w:ascii="Verdana" w:hAnsi="Verdana" w:cs="Arial"/>
          <w:sz w:val="16"/>
          <w:szCs w:val="16"/>
          <w:lang w:val="it-IT"/>
        </w:rPr>
        <w:t xml:space="preserve">Educação de adultos: aprender sempre. In M. Silva et al. </w:t>
      </w:r>
      <w:r w:rsidRPr="004354BE">
        <w:rPr>
          <w:rFonts w:ascii="Verdana" w:hAnsi="Verdana" w:cs="Arial"/>
          <w:sz w:val="16"/>
          <w:szCs w:val="16"/>
          <w:lang w:val="pt-PT"/>
        </w:rPr>
        <w:t xml:space="preserve">(coord.), </w:t>
      </w:r>
      <w:proofErr w:type="gramStart"/>
      <w:r w:rsidRPr="004354BE">
        <w:rPr>
          <w:rFonts w:ascii="Verdana" w:hAnsi="Verdana" w:cs="Arial"/>
          <w:i/>
          <w:sz w:val="16"/>
          <w:szCs w:val="16"/>
          <w:lang w:val="pt-PT"/>
        </w:rPr>
        <w:t>Pensar</w:t>
      </w:r>
      <w:proofErr w:type="gramEnd"/>
      <w:r w:rsidRPr="004354BE">
        <w:rPr>
          <w:rFonts w:ascii="Verdana" w:hAnsi="Verdana" w:cs="Arial"/>
          <w:i/>
          <w:sz w:val="16"/>
          <w:szCs w:val="16"/>
          <w:lang w:val="pt-PT"/>
        </w:rPr>
        <w:t xml:space="preserve"> a Educação. Temas Sectoriais</w:t>
      </w:r>
      <w:r w:rsidRPr="004354BE">
        <w:rPr>
          <w:rFonts w:ascii="Verdana" w:hAnsi="Verdana" w:cs="Arial"/>
          <w:sz w:val="16"/>
          <w:szCs w:val="16"/>
          <w:lang w:val="pt-PT"/>
        </w:rPr>
        <w:t xml:space="preserve">. </w:t>
      </w:r>
      <w:r w:rsidRPr="00F32E15">
        <w:rPr>
          <w:rFonts w:ascii="Verdana" w:hAnsi="Verdana" w:cs="Arial"/>
          <w:sz w:val="16"/>
          <w:szCs w:val="16"/>
          <w:lang w:val="en-GB"/>
        </w:rPr>
        <w:t>Lisboa: EDUCA, pp. 151-180.</w:t>
      </w:r>
    </w:p>
  </w:footnote>
  <w:footnote w:id="41">
    <w:p w14:paraId="79EDBA13" w14:textId="77777777" w:rsidR="00F41B98" w:rsidRPr="0092007F" w:rsidRDefault="00F41B98" w:rsidP="00F41B98">
      <w:pPr>
        <w:pStyle w:val="FootnoteText"/>
        <w:spacing w:after="0"/>
        <w:ind w:left="0" w:firstLine="0"/>
        <w:jc w:val="left"/>
        <w:rPr>
          <w:rFonts w:cs="Arial"/>
          <w:sz w:val="16"/>
          <w:szCs w:val="16"/>
          <w:lang w:val="it-IT"/>
        </w:rPr>
      </w:pPr>
      <w:r w:rsidRPr="004354BE">
        <w:rPr>
          <w:rStyle w:val="FootnoteReference"/>
          <w:rFonts w:ascii="Verdana" w:hAnsi="Verdana" w:cs="Arial"/>
          <w:sz w:val="16"/>
          <w:szCs w:val="16"/>
        </w:rPr>
        <w:footnoteRef/>
      </w:r>
      <w:r w:rsidRPr="00F32E15">
        <w:rPr>
          <w:rFonts w:ascii="Verdana" w:hAnsi="Verdana" w:cs="Arial"/>
          <w:sz w:val="16"/>
          <w:szCs w:val="16"/>
          <w:lang w:val="en-GB"/>
        </w:rPr>
        <w:t xml:space="preserve"> However, this framework has been claimed by several authors, among others Lima, L. C. et al. </w:t>
      </w:r>
      <w:r w:rsidRPr="004354BE">
        <w:rPr>
          <w:rFonts w:ascii="Verdana" w:hAnsi="Verdana" w:cs="Arial"/>
          <w:sz w:val="16"/>
          <w:szCs w:val="16"/>
          <w:lang w:val="it-IT"/>
        </w:rPr>
        <w:t xml:space="preserve">(1988). </w:t>
      </w:r>
      <w:r w:rsidRPr="004354BE">
        <w:rPr>
          <w:rFonts w:ascii="Verdana" w:hAnsi="Verdana" w:cs="Arial"/>
          <w:i/>
          <w:sz w:val="16"/>
          <w:szCs w:val="16"/>
          <w:lang w:val="it-IT"/>
        </w:rPr>
        <w:t>Documentos Preparatórios III. Comissão de Reforma do Sistema Educativo</w:t>
      </w:r>
      <w:r w:rsidRPr="004354BE">
        <w:rPr>
          <w:rFonts w:ascii="Verdana" w:hAnsi="Verdana" w:cs="Arial"/>
          <w:sz w:val="16"/>
          <w:szCs w:val="16"/>
          <w:lang w:val="it-IT"/>
        </w:rPr>
        <w:t>. Lisboa: Ministério da Educação.</w:t>
      </w:r>
    </w:p>
  </w:footnote>
  <w:footnote w:id="42">
    <w:p w14:paraId="30085C58" w14:textId="77777777" w:rsidR="00F41B98" w:rsidRPr="004354BE" w:rsidRDefault="00F41B98" w:rsidP="00F41B98">
      <w:pPr>
        <w:pStyle w:val="FootnoteText"/>
        <w:spacing w:after="0"/>
        <w:ind w:left="0" w:firstLine="0"/>
        <w:jc w:val="left"/>
        <w:rPr>
          <w:rFonts w:ascii="Verdana" w:hAnsi="Verdana" w:cs="Arial"/>
          <w:sz w:val="16"/>
          <w:szCs w:val="16"/>
          <w:lang w:val="en-US"/>
        </w:rPr>
      </w:pPr>
      <w:r w:rsidRPr="004354BE">
        <w:rPr>
          <w:rStyle w:val="FootnoteReference"/>
          <w:rFonts w:ascii="Verdana" w:hAnsi="Verdana" w:cs="Arial"/>
          <w:sz w:val="16"/>
          <w:szCs w:val="16"/>
        </w:rPr>
        <w:footnoteRef/>
      </w:r>
      <w:r w:rsidRPr="004354BE">
        <w:rPr>
          <w:rFonts w:ascii="Verdana" w:hAnsi="Verdana" w:cs="Arial"/>
          <w:sz w:val="16"/>
          <w:szCs w:val="16"/>
          <w:lang w:val="it-IT"/>
        </w:rPr>
        <w:t xml:space="preserve"> See Canário, R. (2013). Educação de Adultos. Um Campo, uma Problemática. </w:t>
      </w:r>
      <w:r w:rsidRPr="004354BE">
        <w:rPr>
          <w:rFonts w:ascii="Verdana" w:hAnsi="Verdana" w:cs="Arial"/>
          <w:sz w:val="16"/>
          <w:szCs w:val="16"/>
          <w:lang w:val="pt-PT"/>
        </w:rPr>
        <w:t xml:space="preserve">Lisboa: EDUCA and </w:t>
      </w:r>
      <w:r w:rsidRPr="004354BE">
        <w:rPr>
          <w:rFonts w:ascii="Verdana" w:hAnsi="Verdana" w:cs="Arial"/>
          <w:color w:val="191919"/>
          <w:sz w:val="16"/>
          <w:szCs w:val="16"/>
          <w:lang w:val="pt-PT"/>
        </w:rPr>
        <w:t xml:space="preserve">Loureiro, A. &amp; Caria, T. (2013). </w:t>
      </w:r>
      <w:r w:rsidRPr="004354BE">
        <w:rPr>
          <w:rFonts w:ascii="Verdana" w:hAnsi="Verdana" w:cs="Arial"/>
          <w:color w:val="191919"/>
          <w:sz w:val="16"/>
          <w:szCs w:val="16"/>
          <w:lang w:val="en-US"/>
        </w:rPr>
        <w:t>“To learn and to construct knowledge in the context of the work with adult education and training: a Portuguese case study”, International Journal of Lifelong Education, Vol. 32, nº 2, pp. 149-164, among others.</w:t>
      </w:r>
    </w:p>
  </w:footnote>
  <w:footnote w:id="43">
    <w:p w14:paraId="4BCB761B" w14:textId="77777777" w:rsidR="00F41B98" w:rsidRPr="0092007F" w:rsidRDefault="00F41B98" w:rsidP="00F41B98">
      <w:pPr>
        <w:pStyle w:val="FootnoteText"/>
        <w:spacing w:after="0"/>
        <w:ind w:left="0" w:firstLine="0"/>
        <w:jc w:val="left"/>
        <w:rPr>
          <w:rFonts w:cs="Arial"/>
          <w:sz w:val="16"/>
          <w:szCs w:val="16"/>
          <w:lang w:val="pt-BR"/>
        </w:rPr>
      </w:pPr>
      <w:r w:rsidRPr="004354BE">
        <w:rPr>
          <w:rStyle w:val="FootnoteReference"/>
          <w:rFonts w:ascii="Verdana" w:hAnsi="Verdana" w:cs="Arial"/>
          <w:sz w:val="16"/>
          <w:szCs w:val="16"/>
        </w:rPr>
        <w:footnoteRef/>
      </w:r>
      <w:r w:rsidRPr="004354BE">
        <w:rPr>
          <w:rFonts w:ascii="Verdana" w:hAnsi="Verdana" w:cs="Arial"/>
          <w:sz w:val="16"/>
          <w:szCs w:val="16"/>
          <w:lang w:val="es-ES"/>
        </w:rPr>
        <w:t xml:space="preserve"> In Portuguese </w:t>
      </w:r>
      <w:r w:rsidRPr="004354BE">
        <w:rPr>
          <w:rFonts w:ascii="Verdana" w:hAnsi="Verdana" w:cs="Arial"/>
          <w:i/>
          <w:sz w:val="16"/>
          <w:szCs w:val="16"/>
          <w:lang w:val="es-ES"/>
        </w:rPr>
        <w:t>Centros Qualifica</w:t>
      </w:r>
      <w:r w:rsidRPr="004354BE">
        <w:rPr>
          <w:rFonts w:ascii="Verdana" w:hAnsi="Verdana" w:cs="Arial"/>
          <w:sz w:val="16"/>
          <w:szCs w:val="16"/>
          <w:lang w:val="es-ES"/>
        </w:rPr>
        <w:t>.</w:t>
      </w:r>
    </w:p>
  </w:footnote>
  <w:footnote w:id="44">
    <w:p w14:paraId="5FCD92CC" w14:textId="77777777" w:rsidR="00F41B98" w:rsidRPr="00A50B9C" w:rsidRDefault="00F41B98" w:rsidP="00F41B98">
      <w:pPr>
        <w:pStyle w:val="FootnoteText"/>
        <w:spacing w:after="0"/>
        <w:ind w:left="0" w:firstLine="0"/>
        <w:jc w:val="left"/>
        <w:rPr>
          <w:rFonts w:ascii="Verdana" w:hAnsi="Verdana" w:cs="Arial"/>
          <w:sz w:val="16"/>
          <w:szCs w:val="16"/>
          <w:lang w:val="pt-BR"/>
        </w:rPr>
      </w:pPr>
      <w:r w:rsidRPr="00A50B9C">
        <w:rPr>
          <w:rStyle w:val="FootnoteReference"/>
          <w:rFonts w:ascii="Verdana" w:hAnsi="Verdana" w:cs="Arial"/>
          <w:sz w:val="16"/>
          <w:szCs w:val="16"/>
        </w:rPr>
        <w:footnoteRef/>
      </w:r>
      <w:r w:rsidRPr="00A50B9C">
        <w:rPr>
          <w:rFonts w:ascii="Verdana" w:hAnsi="Verdana" w:cs="Arial"/>
          <w:sz w:val="16"/>
          <w:szCs w:val="16"/>
          <w:lang w:val="pt-PT"/>
        </w:rPr>
        <w:t xml:space="preserve"> In Portuguese </w:t>
      </w:r>
      <w:r w:rsidRPr="00A50B9C">
        <w:rPr>
          <w:rFonts w:ascii="Verdana" w:hAnsi="Verdana" w:cs="Arial"/>
          <w:i/>
          <w:sz w:val="16"/>
          <w:szCs w:val="16"/>
          <w:lang w:val="pt-PT"/>
        </w:rPr>
        <w:t>Unidades de Formação de Curta Duração</w:t>
      </w:r>
      <w:r w:rsidRPr="00A50B9C">
        <w:rPr>
          <w:rFonts w:ascii="Verdana" w:hAnsi="Verdana" w:cs="Arial"/>
          <w:sz w:val="16"/>
          <w:szCs w:val="16"/>
          <w:lang w:val="pt-PT"/>
        </w:rPr>
        <w:t xml:space="preserve"> (Portaria n.º 1100/2010, 22/10; Portaria n.º 216-C/2012, 18/07).</w:t>
      </w:r>
    </w:p>
  </w:footnote>
  <w:footnote w:id="45">
    <w:p w14:paraId="6C858947" w14:textId="77777777" w:rsidR="00F41B98" w:rsidRPr="0092007F" w:rsidRDefault="00F41B98" w:rsidP="00F41B98">
      <w:pPr>
        <w:pStyle w:val="FootnoteText"/>
        <w:spacing w:after="0"/>
        <w:ind w:left="0" w:firstLine="0"/>
        <w:jc w:val="left"/>
        <w:rPr>
          <w:rFonts w:cs="Arial"/>
          <w:sz w:val="16"/>
          <w:szCs w:val="16"/>
          <w:lang w:val="pt-BR"/>
        </w:rPr>
      </w:pPr>
      <w:r w:rsidRPr="00A50B9C">
        <w:rPr>
          <w:rStyle w:val="FootnoteReference"/>
          <w:rFonts w:ascii="Verdana" w:hAnsi="Verdana" w:cs="Arial"/>
          <w:sz w:val="16"/>
          <w:szCs w:val="16"/>
        </w:rPr>
        <w:footnoteRef/>
      </w:r>
      <w:r w:rsidRPr="00A50B9C">
        <w:rPr>
          <w:rFonts w:ascii="Verdana" w:hAnsi="Verdana" w:cs="Arial"/>
          <w:sz w:val="16"/>
          <w:szCs w:val="16"/>
          <w:lang w:val="pt-PT"/>
        </w:rPr>
        <w:t xml:space="preserve"> In Portuguese </w:t>
      </w:r>
      <w:r w:rsidRPr="00A50B9C">
        <w:rPr>
          <w:rFonts w:ascii="Verdana" w:hAnsi="Verdana" w:cs="Arial"/>
          <w:i/>
          <w:sz w:val="16"/>
          <w:szCs w:val="16"/>
          <w:lang w:val="pt-PT"/>
        </w:rPr>
        <w:t>Referenciais de Competências-Chave</w:t>
      </w:r>
      <w:r w:rsidRPr="00A50B9C">
        <w:rPr>
          <w:rFonts w:ascii="Verdana" w:hAnsi="Verdana" w:cs="Arial"/>
          <w:sz w:val="16"/>
          <w:szCs w:val="16"/>
          <w:lang w:val="pt-PT"/>
        </w:rPr>
        <w:t>.</w:t>
      </w:r>
    </w:p>
  </w:footnote>
  <w:footnote w:id="46">
    <w:p w14:paraId="7FDDE7D6" w14:textId="77777777" w:rsidR="00F41B98" w:rsidRPr="00593700" w:rsidRDefault="00F41B98" w:rsidP="00F41B98">
      <w:pPr>
        <w:pStyle w:val="FootnoteText"/>
        <w:spacing w:after="0"/>
        <w:ind w:left="0" w:firstLine="0"/>
        <w:jc w:val="left"/>
        <w:rPr>
          <w:rFonts w:ascii="Verdana" w:hAnsi="Verdana" w:cs="Arial"/>
          <w:sz w:val="16"/>
          <w:szCs w:val="16"/>
          <w:lang w:val="pt-BR"/>
        </w:rPr>
      </w:pPr>
      <w:r w:rsidRPr="00593700">
        <w:rPr>
          <w:rStyle w:val="FootnoteReference"/>
          <w:rFonts w:ascii="Verdana" w:hAnsi="Verdana" w:cs="Arial"/>
          <w:sz w:val="16"/>
          <w:szCs w:val="16"/>
        </w:rPr>
        <w:footnoteRef/>
      </w:r>
      <w:r w:rsidRPr="00593700">
        <w:rPr>
          <w:rFonts w:ascii="Verdana" w:hAnsi="Verdana" w:cs="Arial"/>
          <w:sz w:val="16"/>
          <w:szCs w:val="16"/>
          <w:lang w:val="pt-PT"/>
        </w:rPr>
        <w:t xml:space="preserve"> In Portuguese </w:t>
      </w:r>
      <w:r w:rsidRPr="00593700">
        <w:rPr>
          <w:rFonts w:ascii="Verdana" w:hAnsi="Verdana" w:cs="Arial"/>
          <w:i/>
          <w:sz w:val="16"/>
          <w:szCs w:val="16"/>
          <w:lang w:val="pt-PT"/>
        </w:rPr>
        <w:t>Rede de Universidades Seniores</w:t>
      </w:r>
      <w:r w:rsidRPr="00593700">
        <w:rPr>
          <w:rFonts w:ascii="Verdana" w:hAnsi="Verdana" w:cs="Arial"/>
          <w:sz w:val="16"/>
          <w:szCs w:val="16"/>
          <w:lang w:val="pt-PT"/>
        </w:rPr>
        <w:t xml:space="preserve"> – </w:t>
      </w:r>
      <w:r w:rsidRPr="00593700">
        <w:rPr>
          <w:rFonts w:ascii="Verdana" w:hAnsi="Verdana" w:cs="Arial"/>
          <w:i/>
          <w:sz w:val="16"/>
          <w:szCs w:val="16"/>
          <w:lang w:val="pt-PT"/>
        </w:rPr>
        <w:t>RUTIS</w:t>
      </w:r>
      <w:r w:rsidRPr="00593700">
        <w:rPr>
          <w:rFonts w:ascii="Verdana" w:hAnsi="Verdana" w:cs="Arial"/>
          <w:sz w:val="16"/>
          <w:szCs w:val="16"/>
          <w:lang w:val="pt-PT"/>
        </w:rPr>
        <w:t>.</w:t>
      </w:r>
    </w:p>
  </w:footnote>
  <w:footnote w:id="47">
    <w:p w14:paraId="7F140B07" w14:textId="77777777" w:rsidR="00F41B98" w:rsidRPr="00593700" w:rsidRDefault="00F41B98" w:rsidP="00F41B98">
      <w:pPr>
        <w:pStyle w:val="FootnoteText"/>
        <w:spacing w:after="0"/>
        <w:ind w:left="0" w:firstLine="0"/>
        <w:jc w:val="left"/>
        <w:rPr>
          <w:rFonts w:ascii="Verdana" w:hAnsi="Verdana" w:cs="Arial"/>
          <w:b/>
          <w:sz w:val="16"/>
          <w:szCs w:val="16"/>
          <w:lang w:val="en-US"/>
        </w:rPr>
      </w:pPr>
      <w:r w:rsidRPr="00593700">
        <w:rPr>
          <w:rStyle w:val="FootnoteReference"/>
          <w:rFonts w:ascii="Verdana" w:hAnsi="Verdana" w:cs="Arial"/>
          <w:sz w:val="16"/>
          <w:szCs w:val="16"/>
        </w:rPr>
        <w:footnoteRef/>
      </w:r>
      <w:r w:rsidRPr="00F32E15">
        <w:rPr>
          <w:rFonts w:ascii="Verdana" w:hAnsi="Verdana" w:cs="Arial"/>
          <w:sz w:val="16"/>
          <w:szCs w:val="16"/>
          <w:lang w:val="en-GB"/>
        </w:rPr>
        <w:t xml:space="preserve"> Third Age Universities were formally recognised as important organisations in the development of educational and leisure time activities for older adults, including courses, seminars, cultural visits, artistic and recreational events, among others (Resolução do Conselho de Ministros n</w:t>
      </w:r>
      <w:proofErr w:type="gramStart"/>
      <w:r w:rsidRPr="00F32E15">
        <w:rPr>
          <w:rFonts w:ascii="Verdana" w:hAnsi="Verdana" w:cs="Arial"/>
          <w:sz w:val="16"/>
          <w:szCs w:val="16"/>
          <w:lang w:val="en-GB"/>
        </w:rPr>
        <w:t>.º</w:t>
      </w:r>
      <w:proofErr w:type="gramEnd"/>
      <w:r w:rsidRPr="00F32E15">
        <w:rPr>
          <w:rFonts w:ascii="Verdana" w:hAnsi="Verdana" w:cs="Arial"/>
          <w:sz w:val="16"/>
          <w:szCs w:val="16"/>
          <w:lang w:val="en-GB"/>
        </w:rPr>
        <w:t xml:space="preserve"> 76/2016, 29/11).</w:t>
      </w:r>
    </w:p>
  </w:footnote>
  <w:footnote w:id="48">
    <w:p w14:paraId="3EF80959" w14:textId="77777777" w:rsidR="00F41B98" w:rsidRPr="00F32E15" w:rsidRDefault="00F41B98" w:rsidP="00F41B98">
      <w:pPr>
        <w:pStyle w:val="FootnoteText"/>
        <w:spacing w:after="0"/>
        <w:ind w:left="0" w:firstLine="0"/>
        <w:jc w:val="left"/>
        <w:rPr>
          <w:rFonts w:ascii="Verdana" w:hAnsi="Verdana" w:cs="Arial"/>
          <w:sz w:val="16"/>
          <w:szCs w:val="16"/>
          <w:lang w:val="en-GB"/>
        </w:rPr>
      </w:pPr>
      <w:r w:rsidRPr="00593700">
        <w:rPr>
          <w:rStyle w:val="FootnoteReference"/>
          <w:rFonts w:ascii="Verdana" w:hAnsi="Verdana" w:cs="Arial"/>
          <w:sz w:val="16"/>
          <w:szCs w:val="16"/>
        </w:rPr>
        <w:footnoteRef/>
      </w:r>
      <w:r w:rsidRPr="00F32E15">
        <w:rPr>
          <w:rFonts w:ascii="Verdana" w:hAnsi="Verdana" w:cs="Arial"/>
          <w:sz w:val="16"/>
          <w:szCs w:val="16"/>
          <w:lang w:val="en-GB"/>
        </w:rPr>
        <w:t xml:space="preserve"> Vocational education and training is regulated by specific legislation (Lei n</w:t>
      </w:r>
      <w:proofErr w:type="gramStart"/>
      <w:r w:rsidRPr="00F32E15">
        <w:rPr>
          <w:rFonts w:ascii="Verdana" w:hAnsi="Verdana" w:cs="Arial"/>
          <w:sz w:val="16"/>
          <w:szCs w:val="16"/>
          <w:lang w:val="en-GB"/>
        </w:rPr>
        <w:t>.º</w:t>
      </w:r>
      <w:proofErr w:type="gramEnd"/>
      <w:r w:rsidRPr="00F32E15">
        <w:rPr>
          <w:rFonts w:ascii="Verdana" w:hAnsi="Verdana" w:cs="Arial"/>
          <w:sz w:val="16"/>
          <w:szCs w:val="16"/>
          <w:lang w:val="en-GB"/>
        </w:rPr>
        <w:t xml:space="preserve"> 7/2009, 12/02, Articles 130, 131, 132, 133, 134).</w:t>
      </w:r>
    </w:p>
  </w:footnote>
  <w:footnote w:id="49">
    <w:p w14:paraId="4C8B7445" w14:textId="77777777" w:rsidR="00F41B98" w:rsidRPr="0092007F" w:rsidRDefault="00F41B98" w:rsidP="00F41B98">
      <w:pPr>
        <w:pStyle w:val="FootnoteText"/>
        <w:spacing w:after="0"/>
        <w:ind w:left="0" w:firstLine="0"/>
        <w:jc w:val="left"/>
        <w:rPr>
          <w:rFonts w:cs="Arial"/>
          <w:sz w:val="16"/>
          <w:szCs w:val="16"/>
          <w:lang w:val="pt-BR"/>
        </w:rPr>
      </w:pPr>
      <w:r w:rsidRPr="00593700">
        <w:rPr>
          <w:rStyle w:val="FootnoteReference"/>
          <w:rFonts w:ascii="Verdana" w:hAnsi="Verdana" w:cs="Arial"/>
          <w:strike/>
          <w:sz w:val="16"/>
          <w:szCs w:val="16"/>
        </w:rPr>
        <w:footnoteRef/>
      </w:r>
      <w:r w:rsidRPr="00593700">
        <w:rPr>
          <w:rFonts w:ascii="Verdana" w:hAnsi="Verdana" w:cs="Arial"/>
          <w:strike/>
          <w:sz w:val="16"/>
          <w:szCs w:val="16"/>
          <w:lang w:val="pt-PT"/>
        </w:rPr>
        <w:t xml:space="preserve"> </w:t>
      </w:r>
      <w:r w:rsidRPr="00593700">
        <w:rPr>
          <w:rFonts w:ascii="Verdana" w:hAnsi="Verdana" w:cs="Arial"/>
          <w:sz w:val="16"/>
          <w:szCs w:val="16"/>
          <w:lang w:val="pt-PT"/>
        </w:rPr>
        <w:t xml:space="preserve">In Portuguese </w:t>
      </w:r>
      <w:r w:rsidRPr="00593700">
        <w:rPr>
          <w:rFonts w:ascii="Verdana" w:hAnsi="Verdana" w:cs="Arial"/>
          <w:i/>
          <w:sz w:val="16"/>
          <w:szCs w:val="16"/>
          <w:lang w:val="pt-PT"/>
        </w:rPr>
        <w:t>Instituto de Emprego e Formação Profissional</w:t>
      </w:r>
      <w:r w:rsidRPr="00593700">
        <w:rPr>
          <w:rFonts w:ascii="Verdana" w:hAnsi="Verdana" w:cs="Arial"/>
          <w:sz w:val="16"/>
          <w:szCs w:val="16"/>
          <w:lang w:val="pt-PT"/>
        </w:rPr>
        <w:t>.</w:t>
      </w:r>
    </w:p>
  </w:footnote>
  <w:footnote w:id="50">
    <w:p w14:paraId="62187409" w14:textId="77777777" w:rsidR="00F41B98" w:rsidRPr="00593700" w:rsidRDefault="00F41B98" w:rsidP="00F41B98">
      <w:pPr>
        <w:pStyle w:val="FootnoteText"/>
        <w:spacing w:after="0"/>
        <w:ind w:left="0" w:firstLine="0"/>
        <w:jc w:val="left"/>
        <w:rPr>
          <w:rFonts w:ascii="Verdana" w:hAnsi="Verdana" w:cs="Arial"/>
          <w:sz w:val="16"/>
          <w:szCs w:val="16"/>
          <w:lang w:val="pt-BR"/>
        </w:rPr>
      </w:pPr>
      <w:r w:rsidRPr="00593700">
        <w:rPr>
          <w:rStyle w:val="FootnoteReference"/>
          <w:rFonts w:ascii="Verdana" w:hAnsi="Verdana" w:cs="Arial"/>
          <w:sz w:val="16"/>
          <w:szCs w:val="16"/>
        </w:rPr>
        <w:footnoteRef/>
      </w:r>
      <w:r w:rsidRPr="00F32E15">
        <w:rPr>
          <w:rFonts w:ascii="Verdana" w:hAnsi="Verdana" w:cs="Arial"/>
          <w:sz w:val="16"/>
          <w:szCs w:val="16"/>
          <w:lang w:val="en-GB"/>
        </w:rPr>
        <w:t xml:space="preserve"> Decreto-Lei n</w:t>
      </w:r>
      <w:proofErr w:type="gramStart"/>
      <w:r w:rsidRPr="00F32E15">
        <w:rPr>
          <w:rFonts w:ascii="Verdana" w:hAnsi="Verdana" w:cs="Arial"/>
          <w:sz w:val="16"/>
          <w:szCs w:val="16"/>
          <w:lang w:val="en-GB"/>
        </w:rPr>
        <w:t>.º</w:t>
      </w:r>
      <w:proofErr w:type="gramEnd"/>
      <w:r w:rsidRPr="00F32E15">
        <w:rPr>
          <w:rFonts w:ascii="Verdana" w:hAnsi="Verdana" w:cs="Arial"/>
          <w:sz w:val="16"/>
          <w:szCs w:val="16"/>
          <w:lang w:val="en-GB"/>
        </w:rPr>
        <w:t xml:space="preserve"> 64/2006, 21/03. Before 2006, adult learners could enrol in higher education institutions after an </w:t>
      </w:r>
      <w:r w:rsidRPr="00F32E15">
        <w:rPr>
          <w:rFonts w:ascii="Verdana" w:hAnsi="Verdana" w:cs="Arial"/>
          <w:i/>
          <w:sz w:val="16"/>
          <w:szCs w:val="16"/>
          <w:lang w:val="en-GB"/>
        </w:rPr>
        <w:t>ad hoc</w:t>
      </w:r>
      <w:r w:rsidRPr="00F32E15">
        <w:rPr>
          <w:rFonts w:ascii="Verdana" w:hAnsi="Verdana" w:cs="Arial"/>
          <w:sz w:val="16"/>
          <w:szCs w:val="16"/>
          <w:lang w:val="en-GB"/>
        </w:rPr>
        <w:t xml:space="preserve"> exam (Portaria n</w:t>
      </w:r>
      <w:proofErr w:type="gramStart"/>
      <w:r w:rsidRPr="00F32E15">
        <w:rPr>
          <w:rFonts w:ascii="Verdana" w:hAnsi="Verdana" w:cs="Arial"/>
          <w:sz w:val="16"/>
          <w:szCs w:val="16"/>
          <w:lang w:val="en-GB"/>
        </w:rPr>
        <w:t>.º</w:t>
      </w:r>
      <w:proofErr w:type="gramEnd"/>
      <w:r w:rsidRPr="00F32E15">
        <w:rPr>
          <w:rFonts w:ascii="Verdana" w:hAnsi="Verdana" w:cs="Arial"/>
          <w:sz w:val="16"/>
          <w:szCs w:val="16"/>
          <w:lang w:val="en-GB"/>
        </w:rPr>
        <w:t xml:space="preserve"> 122/94, 24/02).</w:t>
      </w:r>
    </w:p>
  </w:footnote>
  <w:footnote w:id="51">
    <w:p w14:paraId="5F286FE9" w14:textId="77777777" w:rsidR="00F41B98" w:rsidRPr="00593700" w:rsidRDefault="00F41B98" w:rsidP="00F41B98">
      <w:pPr>
        <w:pStyle w:val="FootnoteText"/>
        <w:spacing w:after="0"/>
        <w:ind w:left="0" w:firstLine="0"/>
        <w:jc w:val="left"/>
        <w:rPr>
          <w:rFonts w:ascii="Verdana" w:hAnsi="Verdana" w:cs="Arial"/>
          <w:sz w:val="16"/>
          <w:szCs w:val="16"/>
          <w:lang w:val="pt-BR"/>
        </w:rPr>
      </w:pPr>
      <w:r w:rsidRPr="00593700">
        <w:rPr>
          <w:rStyle w:val="FootnoteReference"/>
          <w:rFonts w:ascii="Verdana" w:hAnsi="Verdana" w:cs="Arial"/>
          <w:sz w:val="16"/>
          <w:szCs w:val="16"/>
        </w:rPr>
        <w:footnoteRef/>
      </w:r>
      <w:r w:rsidRPr="00593700">
        <w:rPr>
          <w:rFonts w:ascii="Verdana" w:hAnsi="Verdana" w:cs="Arial"/>
          <w:sz w:val="16"/>
          <w:szCs w:val="16"/>
          <w:lang w:val="pt-PT"/>
        </w:rPr>
        <w:t xml:space="preserve"> Decreto-Lei n.º 63/2016, 13/09; Decreto-Lei n.º 113/2014, 16/07; and Decreto-lei n.º 64/2006, 21/03.</w:t>
      </w:r>
    </w:p>
  </w:footnote>
  <w:footnote w:id="52">
    <w:p w14:paraId="2D5A140A" w14:textId="77777777" w:rsidR="00F41B98" w:rsidRPr="00593700" w:rsidRDefault="00F41B98" w:rsidP="00F41B98">
      <w:pPr>
        <w:pStyle w:val="FootnoteText"/>
        <w:spacing w:after="0"/>
        <w:ind w:left="0" w:firstLine="0"/>
        <w:jc w:val="left"/>
        <w:rPr>
          <w:rFonts w:ascii="Verdana" w:hAnsi="Verdana" w:cs="Arial"/>
          <w:sz w:val="16"/>
          <w:szCs w:val="16"/>
          <w:lang w:val="en-US"/>
        </w:rPr>
      </w:pPr>
      <w:r w:rsidRPr="00593700">
        <w:rPr>
          <w:rStyle w:val="FootnoteReference"/>
          <w:rFonts w:ascii="Verdana" w:hAnsi="Verdana" w:cs="Arial"/>
          <w:sz w:val="16"/>
          <w:szCs w:val="16"/>
        </w:rPr>
        <w:footnoteRef/>
      </w:r>
      <w:r w:rsidRPr="00F32E15">
        <w:rPr>
          <w:rFonts w:ascii="Verdana" w:hAnsi="Verdana" w:cs="Arial"/>
          <w:sz w:val="16"/>
          <w:szCs w:val="16"/>
          <w:lang w:val="en-GB"/>
        </w:rPr>
        <w:t xml:space="preserve"> For more details on this designation and on this programme, see Amorim, J. P. (2013). </w:t>
      </w:r>
      <w:r w:rsidRPr="00593700">
        <w:rPr>
          <w:rFonts w:ascii="Verdana" w:hAnsi="Verdana" w:cs="Arial"/>
          <w:i/>
          <w:sz w:val="16"/>
          <w:szCs w:val="16"/>
          <w:lang w:val="pt-PT"/>
        </w:rPr>
        <w:t>Da “Abertura” das Instituições de Ensino Superior a “Novos Públicos”: O caso Português</w:t>
      </w:r>
      <w:r w:rsidRPr="00593700">
        <w:rPr>
          <w:rFonts w:ascii="Verdana" w:hAnsi="Verdana" w:cs="Arial"/>
          <w:sz w:val="16"/>
          <w:szCs w:val="16"/>
          <w:lang w:val="pt-PT"/>
        </w:rPr>
        <w:t xml:space="preserve"> (PhD thesis). </w:t>
      </w:r>
      <w:r w:rsidRPr="00F32E15">
        <w:rPr>
          <w:rFonts w:ascii="Verdana" w:hAnsi="Verdana" w:cs="Arial"/>
          <w:sz w:val="16"/>
          <w:szCs w:val="16"/>
          <w:lang w:val="en-GB"/>
        </w:rPr>
        <w:t>Porto: Universidade Católica Portuguesa.</w:t>
      </w:r>
    </w:p>
  </w:footnote>
  <w:footnote w:id="53">
    <w:p w14:paraId="73BF87AA" w14:textId="77777777" w:rsidR="00F41B98" w:rsidRPr="00593700" w:rsidRDefault="00F41B98" w:rsidP="00F41B98">
      <w:pPr>
        <w:pStyle w:val="FootnoteText"/>
        <w:spacing w:after="0"/>
        <w:ind w:left="0" w:firstLine="0"/>
        <w:jc w:val="left"/>
        <w:rPr>
          <w:rFonts w:ascii="Verdana" w:hAnsi="Verdana" w:cs="Arial"/>
          <w:sz w:val="16"/>
          <w:szCs w:val="16"/>
          <w:lang w:val="en-US"/>
        </w:rPr>
      </w:pPr>
      <w:r w:rsidRPr="00593700">
        <w:rPr>
          <w:rStyle w:val="FootnoteReference"/>
          <w:rFonts w:ascii="Verdana" w:hAnsi="Verdana" w:cs="Arial"/>
          <w:sz w:val="16"/>
          <w:szCs w:val="16"/>
        </w:rPr>
        <w:footnoteRef/>
      </w:r>
      <w:r w:rsidRPr="00F32E15">
        <w:rPr>
          <w:rFonts w:ascii="Verdana" w:hAnsi="Verdana" w:cs="Arial"/>
          <w:sz w:val="16"/>
          <w:szCs w:val="16"/>
          <w:lang w:val="en-GB"/>
        </w:rPr>
        <w:t xml:space="preserve"> For more details, see </w:t>
      </w:r>
      <w:r w:rsidRPr="00593700">
        <w:rPr>
          <w:rFonts w:ascii="Verdana" w:hAnsi="Verdana" w:cs="Arial"/>
          <w:sz w:val="16"/>
          <w:szCs w:val="16"/>
          <w:lang w:val="en-US"/>
        </w:rPr>
        <w:t>European Commission, Cedefop and ICF International (2014). </w:t>
      </w:r>
      <w:r w:rsidRPr="00593700">
        <w:rPr>
          <w:rFonts w:ascii="Verdana" w:hAnsi="Verdana" w:cs="Arial"/>
          <w:i/>
          <w:sz w:val="16"/>
          <w:szCs w:val="16"/>
          <w:lang w:val="en-US"/>
        </w:rPr>
        <w:t>European Inventory of Validation of Non-Formal and Informal Learning 2014. Portugal.  </w:t>
      </w:r>
      <w:r w:rsidRPr="00593700">
        <w:rPr>
          <w:rFonts w:ascii="Verdana" w:hAnsi="Verdana" w:cs="Arial"/>
          <w:sz w:val="16"/>
          <w:szCs w:val="16"/>
          <w:lang w:val="en-US"/>
        </w:rPr>
        <w:t>Retrieved April 19, 2017, from</w:t>
      </w:r>
      <w:r w:rsidRPr="00593700">
        <w:rPr>
          <w:rFonts w:ascii="Verdana" w:hAnsi="Verdana" w:cs="Arial"/>
          <w:i/>
          <w:sz w:val="16"/>
          <w:szCs w:val="16"/>
          <w:lang w:val="en-US"/>
        </w:rPr>
        <w:t xml:space="preserve"> </w:t>
      </w:r>
      <w:r w:rsidRPr="00593700">
        <w:rPr>
          <w:rFonts w:ascii="Verdana" w:hAnsi="Verdana" w:cs="Arial"/>
          <w:sz w:val="16"/>
          <w:szCs w:val="16"/>
          <w:lang w:val="en-US"/>
        </w:rPr>
        <w:t>www.cedefop.europa.eu/validation/inventory.</w:t>
      </w:r>
    </w:p>
  </w:footnote>
  <w:footnote w:id="54">
    <w:p w14:paraId="2DB06953" w14:textId="77777777" w:rsidR="00F41B98" w:rsidRPr="0092007F" w:rsidRDefault="00F41B98" w:rsidP="00F41B98">
      <w:pPr>
        <w:pStyle w:val="FootnoteText"/>
        <w:spacing w:after="0"/>
        <w:ind w:left="0" w:firstLine="0"/>
        <w:jc w:val="left"/>
        <w:rPr>
          <w:rFonts w:cs="Arial"/>
          <w:sz w:val="16"/>
          <w:szCs w:val="16"/>
          <w:lang w:val="it-IT"/>
        </w:rPr>
      </w:pPr>
      <w:r w:rsidRPr="00593700">
        <w:rPr>
          <w:rStyle w:val="FootnoteReference"/>
          <w:rFonts w:ascii="Verdana" w:hAnsi="Verdana" w:cs="Arial"/>
          <w:sz w:val="16"/>
          <w:szCs w:val="16"/>
        </w:rPr>
        <w:footnoteRef/>
      </w:r>
      <w:r w:rsidRPr="00593700">
        <w:rPr>
          <w:rFonts w:ascii="Verdana" w:hAnsi="Verdana" w:cs="Arial"/>
          <w:sz w:val="16"/>
          <w:szCs w:val="16"/>
          <w:lang w:val="pt-BR"/>
        </w:rPr>
        <w:t xml:space="preserve"> </w:t>
      </w:r>
      <w:r w:rsidRPr="00593700">
        <w:rPr>
          <w:rFonts w:ascii="Verdana" w:hAnsi="Verdana" w:cs="Arial"/>
          <w:sz w:val="16"/>
          <w:szCs w:val="16"/>
          <w:lang w:val="pt-BR"/>
        </w:rPr>
        <w:t xml:space="preserve">For more details, see Ministério do Trabalho e Solidariedade Social/Gabinete de Estratégia e Planeamento (2009). </w:t>
      </w:r>
      <w:r w:rsidRPr="00593700">
        <w:rPr>
          <w:rFonts w:ascii="Verdana" w:hAnsi="Verdana" w:cs="Arial"/>
          <w:i/>
          <w:sz w:val="16"/>
          <w:szCs w:val="16"/>
          <w:lang w:val="pt-BR"/>
        </w:rPr>
        <w:t>Inquérito ao Impacte das Acções de Formação Profisisonal 2005-2007</w:t>
      </w:r>
      <w:r w:rsidRPr="00593700">
        <w:rPr>
          <w:rFonts w:ascii="Verdana" w:hAnsi="Verdana" w:cs="Arial"/>
          <w:sz w:val="16"/>
          <w:szCs w:val="16"/>
          <w:lang w:val="pt-BR"/>
        </w:rPr>
        <w:t xml:space="preserve">. </w:t>
      </w:r>
      <w:r w:rsidRPr="00593700">
        <w:rPr>
          <w:rFonts w:ascii="Verdana" w:hAnsi="Verdana" w:cs="Arial"/>
          <w:sz w:val="16"/>
          <w:szCs w:val="16"/>
          <w:lang w:val="it-IT"/>
        </w:rPr>
        <w:t xml:space="preserve">Lisboa: Ministério do Trabalho e Solidariedade Social/Gabinete de Estratégia e Planeamento, Ministério da Economia e do Emprego/Gabinete de Estratégia e Estudos (2013). </w:t>
      </w:r>
      <w:r w:rsidRPr="00593700">
        <w:rPr>
          <w:rFonts w:ascii="Verdana" w:hAnsi="Verdana" w:cs="Arial"/>
          <w:i/>
          <w:sz w:val="16"/>
          <w:szCs w:val="16"/>
          <w:lang w:val="it-IT"/>
        </w:rPr>
        <w:t>Inquérito ao Impacto das Ações de Formação Profissional nas Empresas</w:t>
      </w:r>
      <w:r w:rsidRPr="00593700">
        <w:rPr>
          <w:rFonts w:ascii="Verdana" w:hAnsi="Verdana" w:cs="Arial"/>
          <w:sz w:val="16"/>
          <w:szCs w:val="16"/>
          <w:lang w:val="it-IT"/>
        </w:rPr>
        <w:t xml:space="preserve">. Lisboa: Ministério da Economia e do Emprego/Gabinete de Estratégia e Estudos and </w:t>
      </w:r>
      <w:r w:rsidRPr="00593700">
        <w:rPr>
          <w:rFonts w:ascii="Verdana" w:hAnsi="Verdana" w:cs="Arial"/>
          <w:sz w:val="16"/>
          <w:szCs w:val="16"/>
          <w:lang w:val="pt-PT"/>
        </w:rPr>
        <w:t xml:space="preserve">Ministério do Trabalho, Solidariedade e Segurança/ Gabinete de Estratégia e Planeamento (2017). </w:t>
      </w:r>
      <w:r w:rsidRPr="00593700">
        <w:rPr>
          <w:rFonts w:ascii="Verdana" w:hAnsi="Verdana" w:cs="Arial"/>
          <w:i/>
          <w:sz w:val="16"/>
          <w:szCs w:val="16"/>
          <w:lang w:val="pt-PT"/>
        </w:rPr>
        <w:t>Relatório Anual de Formação Contínua 2015</w:t>
      </w:r>
      <w:r w:rsidRPr="00593700">
        <w:rPr>
          <w:rFonts w:ascii="Verdana" w:hAnsi="Verdana" w:cs="Arial"/>
          <w:sz w:val="16"/>
          <w:szCs w:val="16"/>
          <w:lang w:val="pt-PT"/>
        </w:rPr>
        <w:t>. Lisboa: Gabinete de Estratégia e Planeamento/Ministério do Trabalho, Solidariedade e Segurança.</w:t>
      </w:r>
    </w:p>
  </w:footnote>
  <w:footnote w:id="55">
    <w:p w14:paraId="63C55178" w14:textId="77777777" w:rsidR="00F41B98" w:rsidRPr="00593700" w:rsidRDefault="00F41B98" w:rsidP="00F41B98">
      <w:pPr>
        <w:pStyle w:val="FootnoteText"/>
        <w:spacing w:after="0"/>
        <w:ind w:left="0" w:firstLine="0"/>
        <w:jc w:val="left"/>
        <w:rPr>
          <w:rFonts w:ascii="Verdana" w:hAnsi="Verdana" w:cs="Arial"/>
          <w:b/>
          <w:sz w:val="16"/>
          <w:szCs w:val="16"/>
          <w:lang w:val="pt-BR"/>
        </w:rPr>
      </w:pPr>
      <w:r w:rsidRPr="00593700">
        <w:rPr>
          <w:rStyle w:val="FootnoteReference"/>
          <w:rFonts w:ascii="Verdana" w:hAnsi="Verdana" w:cs="Arial"/>
          <w:sz w:val="16"/>
          <w:szCs w:val="16"/>
        </w:rPr>
        <w:footnoteRef/>
      </w:r>
      <w:r w:rsidRPr="00593700">
        <w:rPr>
          <w:rFonts w:ascii="Verdana" w:hAnsi="Verdana" w:cs="Arial"/>
          <w:sz w:val="16"/>
          <w:szCs w:val="16"/>
          <w:lang w:val="pt-PT"/>
        </w:rPr>
        <w:t xml:space="preserve"> For more details, see Ministério do Trabalho, Solidariedade e Segurança/ Gabinete de Estratégia e Planeamento (2017). </w:t>
      </w:r>
      <w:r w:rsidRPr="00593700">
        <w:rPr>
          <w:rFonts w:ascii="Verdana" w:hAnsi="Verdana" w:cs="Arial"/>
          <w:i/>
          <w:sz w:val="16"/>
          <w:szCs w:val="16"/>
          <w:lang w:val="pt-PT"/>
        </w:rPr>
        <w:t>Relatório Anual de Formação Contínua 2015</w:t>
      </w:r>
      <w:r w:rsidRPr="00593700">
        <w:rPr>
          <w:rFonts w:ascii="Verdana" w:hAnsi="Verdana" w:cs="Arial"/>
          <w:sz w:val="16"/>
          <w:szCs w:val="16"/>
          <w:lang w:val="pt-PT"/>
        </w:rPr>
        <w:t>. Lisboa: Gabinete de Estratégia e Planeamento/Ministério do Trabalho, Solidariedade e Segurança.</w:t>
      </w:r>
    </w:p>
  </w:footnote>
  <w:footnote w:id="56">
    <w:p w14:paraId="742415A9" w14:textId="77777777" w:rsidR="00F41B98" w:rsidRPr="00F32E15" w:rsidRDefault="00F41B98" w:rsidP="00F41B98">
      <w:pPr>
        <w:tabs>
          <w:tab w:val="left" w:pos="284"/>
        </w:tabs>
        <w:spacing w:after="0"/>
        <w:jc w:val="left"/>
        <w:rPr>
          <w:rFonts w:ascii="Verdana" w:hAnsi="Verdana" w:cs="Arial"/>
          <w:sz w:val="16"/>
          <w:szCs w:val="16"/>
          <w:lang w:val="en-GB"/>
        </w:rPr>
      </w:pPr>
      <w:r w:rsidRPr="00C738F4">
        <w:rPr>
          <w:rStyle w:val="FootnoteReference"/>
          <w:rFonts w:ascii="Verdana" w:hAnsi="Verdana" w:cs="Arial"/>
          <w:sz w:val="16"/>
          <w:szCs w:val="16"/>
        </w:rPr>
        <w:footnoteRef/>
      </w:r>
      <w:r w:rsidRPr="00F32E15">
        <w:rPr>
          <w:rFonts w:ascii="Verdana" w:hAnsi="Verdana" w:cs="Arial"/>
          <w:sz w:val="16"/>
          <w:szCs w:val="16"/>
          <w:lang w:val="en-GB"/>
        </w:rPr>
        <w:t xml:space="preserve"> See different Government programmes accessed on 27/09/2016 in </w:t>
      </w:r>
      <w:hyperlink r:id="rId4" w:history="1">
        <w:r w:rsidRPr="00F32E15">
          <w:rPr>
            <w:rStyle w:val="Hyperlink"/>
            <w:rFonts w:ascii="Verdana" w:hAnsi="Verdana" w:cs="Arial"/>
            <w:sz w:val="16"/>
            <w:szCs w:val="16"/>
            <w:lang w:val="en-GB"/>
          </w:rPr>
          <w:t>http://www.portugal.gov.pt/Portal/Print.aspx?guid={52DABCE1-604E-40DE-9615-7C92A1C34842</w:t>
        </w:r>
      </w:hyperlink>
      <w:r w:rsidRPr="00F32E15">
        <w:rPr>
          <w:rFonts w:ascii="Verdana" w:hAnsi="Verdana" w:cs="Arial"/>
          <w:sz w:val="16"/>
          <w:szCs w:val="16"/>
          <w:lang w:val="en-GB"/>
        </w:rPr>
        <w:t xml:space="preserve">, </w:t>
      </w:r>
      <w:hyperlink r:id="rId5" w:history="1">
        <w:r w:rsidRPr="00F32E15">
          <w:rPr>
            <w:rStyle w:val="Hyperlink"/>
            <w:rFonts w:ascii="Verdana" w:hAnsi="Verdana" w:cs="Arial"/>
            <w:sz w:val="16"/>
            <w:szCs w:val="16"/>
            <w:lang w:val="en-GB"/>
          </w:rPr>
          <w:t>http://www.portugal.gov.pt/pt/GC14</w:t>
        </w:r>
      </w:hyperlink>
      <w:r w:rsidRPr="00F32E15">
        <w:rPr>
          <w:rFonts w:ascii="Verdana" w:hAnsi="Verdana" w:cs="Arial"/>
          <w:sz w:val="16"/>
          <w:szCs w:val="16"/>
          <w:lang w:val="en-GB"/>
        </w:rPr>
        <w:t xml:space="preserve">, </w:t>
      </w:r>
      <w:hyperlink r:id="rId6" w:history="1">
        <w:r w:rsidRPr="00F32E15">
          <w:rPr>
            <w:rStyle w:val="Hyperlink"/>
            <w:rFonts w:ascii="Verdana" w:hAnsi="Verdana" w:cs="Arial"/>
            <w:sz w:val="16"/>
            <w:szCs w:val="16"/>
            <w:lang w:val="en-GB"/>
          </w:rPr>
          <w:t>http://www.portugal.gov.pt/pt/GC15</w:t>
        </w:r>
      </w:hyperlink>
      <w:r w:rsidRPr="00F32E15">
        <w:rPr>
          <w:rFonts w:ascii="Verdana" w:hAnsi="Verdana" w:cs="Arial"/>
          <w:sz w:val="16"/>
          <w:szCs w:val="16"/>
          <w:lang w:val="en-GB"/>
        </w:rPr>
        <w:t xml:space="preserve">, </w:t>
      </w:r>
      <w:hyperlink r:id="rId7" w:history="1">
        <w:r w:rsidRPr="00F32E15">
          <w:rPr>
            <w:rStyle w:val="Hyperlink"/>
            <w:rFonts w:ascii="Verdana" w:hAnsi="Verdana" w:cs="Arial"/>
            <w:sz w:val="16"/>
            <w:szCs w:val="16"/>
            <w:lang w:val="en-GB"/>
          </w:rPr>
          <w:t>http://www.portugal.gov.pt/pt/GC16</w:t>
        </w:r>
      </w:hyperlink>
      <w:r w:rsidRPr="00F32E15">
        <w:rPr>
          <w:rFonts w:ascii="Verdana" w:hAnsi="Verdana" w:cs="Arial"/>
          <w:sz w:val="16"/>
          <w:szCs w:val="16"/>
          <w:lang w:val="en-GB"/>
        </w:rPr>
        <w:t>, http://www.portugal.gov.pt/pt/GC17 and http://www.portugal.gov.pt/pt/GC19.</w:t>
      </w:r>
    </w:p>
  </w:footnote>
  <w:footnote w:id="57">
    <w:p w14:paraId="275FF2E0" w14:textId="77777777" w:rsidR="00F41B98" w:rsidRPr="00C738F4" w:rsidRDefault="00F41B98" w:rsidP="00F41B98">
      <w:pPr>
        <w:spacing w:after="0"/>
        <w:jc w:val="left"/>
        <w:rPr>
          <w:rFonts w:ascii="Verdana" w:hAnsi="Verdana" w:cs="Arial"/>
          <w:sz w:val="16"/>
          <w:szCs w:val="16"/>
          <w:lang w:val="pt-PT"/>
        </w:rPr>
      </w:pPr>
      <w:r w:rsidRPr="00C738F4">
        <w:rPr>
          <w:rStyle w:val="FootnoteReference"/>
          <w:rFonts w:ascii="Verdana" w:hAnsi="Verdana" w:cs="Arial"/>
          <w:sz w:val="16"/>
          <w:szCs w:val="16"/>
        </w:rPr>
        <w:footnoteRef/>
      </w:r>
      <w:r w:rsidRPr="00C738F4">
        <w:rPr>
          <w:rFonts w:ascii="Verdana" w:hAnsi="Verdana" w:cs="Arial"/>
          <w:sz w:val="16"/>
          <w:szCs w:val="16"/>
          <w:lang w:val="pt-PT"/>
        </w:rPr>
        <w:t xml:space="preserve"> See Melo, A. (coord.), Matos, L. &amp; Silva, O. S. (2001). </w:t>
      </w:r>
      <w:r w:rsidRPr="00C738F4">
        <w:rPr>
          <w:rFonts w:ascii="Verdana" w:hAnsi="Verdana" w:cs="Arial"/>
          <w:sz w:val="16"/>
          <w:szCs w:val="16"/>
          <w:lang w:val="it-IT"/>
        </w:rPr>
        <w:t xml:space="preserve">S@ber+. </w:t>
      </w:r>
      <w:r w:rsidRPr="00C738F4">
        <w:rPr>
          <w:rFonts w:ascii="Verdana" w:hAnsi="Verdana" w:cs="Arial"/>
          <w:i/>
          <w:sz w:val="16"/>
          <w:szCs w:val="16"/>
          <w:lang w:val="it-IT"/>
        </w:rPr>
        <w:t>Programa para o Desenvolvimento e Expansão da Educação de Adultos (1999-2006)</w:t>
      </w:r>
      <w:r w:rsidRPr="00C738F4">
        <w:rPr>
          <w:rFonts w:ascii="Verdana" w:hAnsi="Verdana" w:cs="Arial"/>
          <w:sz w:val="16"/>
          <w:szCs w:val="16"/>
          <w:lang w:val="it-IT"/>
        </w:rPr>
        <w:t xml:space="preserve">. </w:t>
      </w:r>
      <w:r w:rsidRPr="00C738F4">
        <w:rPr>
          <w:rFonts w:ascii="Verdana" w:hAnsi="Verdana" w:cs="Arial"/>
          <w:sz w:val="16"/>
          <w:szCs w:val="16"/>
          <w:lang w:val="pt-PT"/>
        </w:rPr>
        <w:t xml:space="preserve">Lisboa: Agência Nacional de Educação e Formação de Adultos and Iniciativa Novas Oportunidades (2005) accessed on 27.09.2016 in </w:t>
      </w:r>
      <w:hyperlink r:id="rId8" w:history="1">
        <w:r w:rsidRPr="00C738F4">
          <w:rPr>
            <w:rStyle w:val="Hyperlink"/>
            <w:rFonts w:ascii="Verdana" w:hAnsi="Verdana" w:cs="Arial"/>
            <w:sz w:val="16"/>
            <w:szCs w:val="16"/>
            <w:lang w:val="pt-PT"/>
          </w:rPr>
          <w:t>www.oei.es/quipu/portugal/novas_oportunidades.pdf</w:t>
        </w:r>
      </w:hyperlink>
      <w:r w:rsidRPr="00C738F4">
        <w:rPr>
          <w:rFonts w:ascii="Verdana" w:hAnsi="Verdana" w:cs="Arial"/>
          <w:sz w:val="16"/>
          <w:szCs w:val="16"/>
          <w:lang w:val="pt-PT"/>
        </w:rPr>
        <w:t>, among other policy discourses.</w:t>
      </w:r>
    </w:p>
  </w:footnote>
  <w:footnote w:id="58">
    <w:p w14:paraId="26F5463B" w14:textId="77777777" w:rsidR="00F41B98" w:rsidRPr="00F32E15" w:rsidRDefault="00F41B98" w:rsidP="00F41B98">
      <w:pPr>
        <w:pStyle w:val="FootnoteText"/>
        <w:spacing w:after="0"/>
        <w:ind w:left="0" w:firstLine="0"/>
        <w:jc w:val="left"/>
        <w:rPr>
          <w:rFonts w:ascii="Verdana" w:hAnsi="Verdana" w:cs="Arial"/>
          <w:sz w:val="16"/>
          <w:szCs w:val="16"/>
          <w:lang w:val="en-GB"/>
        </w:rPr>
      </w:pPr>
      <w:r w:rsidRPr="00C738F4">
        <w:rPr>
          <w:rStyle w:val="FootnoteReference"/>
          <w:rFonts w:ascii="Verdana" w:hAnsi="Verdana" w:cs="Arial"/>
          <w:sz w:val="16"/>
          <w:szCs w:val="16"/>
        </w:rPr>
        <w:footnoteRef/>
      </w:r>
      <w:r w:rsidRPr="00C738F4">
        <w:rPr>
          <w:rFonts w:ascii="Verdana" w:hAnsi="Verdana" w:cs="Arial"/>
          <w:sz w:val="16"/>
          <w:szCs w:val="16"/>
          <w:lang w:val="pt-PT"/>
        </w:rPr>
        <w:t xml:space="preserve"> See Lima, L. C. &amp; Guimarães, P. (2015). </w:t>
      </w:r>
      <w:r w:rsidRPr="00F32E15">
        <w:rPr>
          <w:rFonts w:ascii="Verdana" w:hAnsi="Verdana" w:cs="Arial"/>
          <w:sz w:val="16"/>
          <w:szCs w:val="16"/>
          <w:lang w:val="en-GB"/>
        </w:rPr>
        <w:t xml:space="preserve">Portugal: policy and adult education. In T. Corner (ed.), </w:t>
      </w:r>
      <w:r w:rsidRPr="00F32E15">
        <w:rPr>
          <w:rFonts w:ascii="Verdana" w:hAnsi="Verdana" w:cs="Arial"/>
          <w:i/>
          <w:sz w:val="16"/>
          <w:szCs w:val="16"/>
          <w:lang w:val="en-GB"/>
        </w:rPr>
        <w:t>Education in the European Union Pre-2003-Member States</w:t>
      </w:r>
      <w:r w:rsidRPr="00F32E15">
        <w:rPr>
          <w:rFonts w:ascii="Verdana" w:hAnsi="Verdana" w:cs="Arial"/>
          <w:sz w:val="16"/>
          <w:szCs w:val="16"/>
          <w:lang w:val="en-GB"/>
        </w:rPr>
        <w:t>. London: Bloomsbury, pp. 245-263.</w:t>
      </w:r>
    </w:p>
  </w:footnote>
  <w:footnote w:id="59">
    <w:p w14:paraId="2A940A85" w14:textId="77777777" w:rsidR="00F41B98" w:rsidRPr="00C738F4" w:rsidRDefault="00F41B98" w:rsidP="00F41B98">
      <w:pPr>
        <w:pStyle w:val="FootnoteText"/>
        <w:spacing w:after="0"/>
        <w:ind w:left="0" w:firstLine="0"/>
        <w:jc w:val="left"/>
        <w:rPr>
          <w:rFonts w:ascii="Verdana" w:hAnsi="Verdana" w:cs="Arial"/>
          <w:sz w:val="16"/>
          <w:szCs w:val="16"/>
          <w:lang w:val="pt-PT"/>
        </w:rPr>
      </w:pPr>
      <w:r w:rsidRPr="00C738F4">
        <w:rPr>
          <w:rStyle w:val="FootnoteReference"/>
          <w:rFonts w:ascii="Verdana" w:hAnsi="Verdana" w:cs="Arial"/>
          <w:sz w:val="16"/>
          <w:szCs w:val="16"/>
        </w:rPr>
        <w:footnoteRef/>
      </w:r>
      <w:r w:rsidRPr="00F32E15">
        <w:rPr>
          <w:rFonts w:ascii="Verdana" w:hAnsi="Verdana" w:cs="Arial"/>
          <w:sz w:val="16"/>
          <w:szCs w:val="16"/>
          <w:lang w:val="en-GB"/>
        </w:rPr>
        <w:t xml:space="preserve"> See Antunes, F. &amp; Guimarães, P. (2015). An inconsistent policy: lifelong learning and adult education policy towards competitive advantage. In G. Zarifis and M. Gravani (eds.), </w:t>
      </w:r>
      <w:r w:rsidRPr="00F32E15">
        <w:rPr>
          <w:rFonts w:ascii="Verdana" w:hAnsi="Verdana" w:cs="Arial"/>
          <w:i/>
          <w:sz w:val="16"/>
          <w:szCs w:val="16"/>
          <w:lang w:val="en-GB"/>
        </w:rPr>
        <w:t xml:space="preserve">Challenging the ‘European Area of Lifelong Learning’. </w:t>
      </w:r>
      <w:r w:rsidRPr="00C738F4">
        <w:rPr>
          <w:rFonts w:ascii="Verdana" w:hAnsi="Verdana" w:cs="Arial"/>
          <w:i/>
          <w:sz w:val="16"/>
          <w:szCs w:val="16"/>
          <w:lang w:val="pt-PT"/>
        </w:rPr>
        <w:t>A Critical Response</w:t>
      </w:r>
      <w:r w:rsidRPr="00C738F4">
        <w:rPr>
          <w:rFonts w:ascii="Verdana" w:hAnsi="Verdana" w:cs="Arial"/>
          <w:sz w:val="16"/>
          <w:szCs w:val="16"/>
          <w:lang w:val="pt-PT"/>
        </w:rPr>
        <w:t>. Dordrecht: Springer, pp. 75-86.</w:t>
      </w:r>
    </w:p>
  </w:footnote>
  <w:footnote w:id="60">
    <w:p w14:paraId="0C6455EE" w14:textId="77777777" w:rsidR="00F41B98" w:rsidRPr="0092007F" w:rsidRDefault="00F41B98" w:rsidP="00F41B98">
      <w:pPr>
        <w:pStyle w:val="FootnoteText"/>
        <w:spacing w:after="0"/>
        <w:ind w:left="0" w:firstLine="0"/>
        <w:jc w:val="left"/>
        <w:rPr>
          <w:rFonts w:cs="Arial"/>
          <w:sz w:val="16"/>
          <w:szCs w:val="16"/>
          <w:lang w:val="it-IT"/>
        </w:rPr>
      </w:pPr>
      <w:r w:rsidRPr="00C738F4">
        <w:rPr>
          <w:rStyle w:val="FootnoteReference"/>
          <w:rFonts w:ascii="Verdana" w:hAnsi="Verdana" w:cs="Arial"/>
          <w:sz w:val="16"/>
          <w:szCs w:val="16"/>
        </w:rPr>
        <w:footnoteRef/>
      </w:r>
      <w:r w:rsidRPr="00C738F4">
        <w:rPr>
          <w:rFonts w:ascii="Verdana" w:hAnsi="Verdana" w:cs="Arial"/>
          <w:sz w:val="16"/>
          <w:szCs w:val="16"/>
          <w:lang w:val="pt-PT"/>
        </w:rPr>
        <w:t xml:space="preserve"> See Mateus, A. (</w:t>
      </w:r>
      <w:proofErr w:type="gramStart"/>
      <w:r w:rsidRPr="00C738F4">
        <w:rPr>
          <w:rFonts w:ascii="Verdana" w:hAnsi="Verdana" w:cs="Arial"/>
          <w:sz w:val="16"/>
          <w:szCs w:val="16"/>
          <w:lang w:val="pt-PT"/>
        </w:rPr>
        <w:t>coord.)(</w:t>
      </w:r>
      <w:proofErr w:type="gramEnd"/>
      <w:r w:rsidRPr="00C738F4">
        <w:rPr>
          <w:rFonts w:ascii="Verdana" w:hAnsi="Verdana" w:cs="Arial"/>
          <w:sz w:val="16"/>
          <w:szCs w:val="16"/>
          <w:lang w:val="pt-PT"/>
        </w:rPr>
        <w:t xml:space="preserve">2015). </w:t>
      </w:r>
      <w:r w:rsidRPr="00C738F4">
        <w:rPr>
          <w:rFonts w:ascii="Verdana" w:hAnsi="Verdana" w:cs="Arial"/>
          <w:i/>
          <w:sz w:val="16"/>
          <w:szCs w:val="16"/>
          <w:lang w:val="pt-PT"/>
        </w:rPr>
        <w:t xml:space="preserve">Três Décadas de Portugal Europeu. </w:t>
      </w:r>
      <w:r w:rsidRPr="00C738F4">
        <w:rPr>
          <w:rFonts w:ascii="Verdana" w:hAnsi="Verdana" w:cs="Arial"/>
          <w:i/>
          <w:sz w:val="16"/>
          <w:szCs w:val="16"/>
          <w:lang w:val="it-IT"/>
        </w:rPr>
        <w:t>Balanço e Perspectivas</w:t>
      </w:r>
      <w:r w:rsidRPr="00C738F4">
        <w:rPr>
          <w:rFonts w:ascii="Verdana" w:hAnsi="Verdana" w:cs="Arial"/>
          <w:sz w:val="16"/>
          <w:szCs w:val="16"/>
          <w:lang w:val="it-IT"/>
        </w:rPr>
        <w:t>. Lisboa: Fundação Francisco Manuel dos Santos.</w:t>
      </w:r>
    </w:p>
  </w:footnote>
  <w:footnote w:id="61">
    <w:p w14:paraId="2CFB402D" w14:textId="77777777" w:rsidR="00F41B98" w:rsidRPr="00C738F4" w:rsidRDefault="00F41B98" w:rsidP="00F41B98">
      <w:pPr>
        <w:pStyle w:val="FootnoteText"/>
        <w:spacing w:after="0"/>
        <w:ind w:left="0" w:firstLine="0"/>
        <w:jc w:val="left"/>
        <w:rPr>
          <w:rFonts w:ascii="Verdana" w:hAnsi="Verdana" w:cs="Arial"/>
          <w:sz w:val="16"/>
          <w:szCs w:val="16"/>
          <w:lang w:val="it-IT"/>
        </w:rPr>
      </w:pPr>
      <w:r w:rsidRPr="00C738F4">
        <w:rPr>
          <w:rStyle w:val="FootnoteReference"/>
          <w:rFonts w:ascii="Verdana" w:hAnsi="Verdana" w:cs="Arial"/>
          <w:sz w:val="16"/>
          <w:szCs w:val="16"/>
        </w:rPr>
        <w:footnoteRef/>
      </w:r>
      <w:r w:rsidRPr="00C738F4">
        <w:rPr>
          <w:rFonts w:ascii="Verdana" w:hAnsi="Verdana" w:cs="Arial"/>
          <w:sz w:val="16"/>
          <w:szCs w:val="16"/>
          <w:lang w:val="it-IT"/>
        </w:rPr>
        <w:t xml:space="preserve"> Decreto-lei </w:t>
      </w:r>
      <w:proofErr w:type="gramStart"/>
      <w:r w:rsidRPr="00C738F4">
        <w:rPr>
          <w:rFonts w:ascii="Verdana" w:hAnsi="Verdana" w:cs="Arial"/>
          <w:sz w:val="16"/>
          <w:szCs w:val="16"/>
          <w:lang w:val="it-IT"/>
        </w:rPr>
        <w:t>n.º</w:t>
      </w:r>
      <w:proofErr w:type="gramEnd"/>
      <w:r w:rsidRPr="00C738F4">
        <w:rPr>
          <w:rFonts w:ascii="Verdana" w:hAnsi="Verdana" w:cs="Arial"/>
          <w:sz w:val="16"/>
          <w:szCs w:val="16"/>
          <w:lang w:val="it-IT"/>
        </w:rPr>
        <w:t xml:space="preserve"> 276-C/2007, 31/07 established the national agency for qualification (in Portuguese </w:t>
      </w:r>
      <w:r w:rsidRPr="00C738F4">
        <w:rPr>
          <w:rFonts w:ascii="Verdana" w:hAnsi="Verdana" w:cs="Arial"/>
          <w:i/>
          <w:sz w:val="16"/>
          <w:szCs w:val="16"/>
          <w:lang w:val="it-IT"/>
        </w:rPr>
        <w:t>Agência Nacional para a Qualificação</w:t>
      </w:r>
      <w:r w:rsidRPr="00C738F4">
        <w:rPr>
          <w:rFonts w:ascii="Verdana" w:hAnsi="Verdana" w:cs="Arial"/>
          <w:sz w:val="16"/>
          <w:szCs w:val="16"/>
          <w:lang w:val="it-IT"/>
        </w:rPr>
        <w:t xml:space="preserve">) and Decreto-lei n.º 36/2012, 15/02, established the national agency for qualification and vocational education and training (in Portuguese </w:t>
      </w:r>
      <w:r w:rsidRPr="00C738F4">
        <w:rPr>
          <w:rFonts w:ascii="Verdana" w:hAnsi="Verdana" w:cs="Arial"/>
          <w:i/>
          <w:sz w:val="16"/>
          <w:szCs w:val="16"/>
          <w:lang w:val="it-IT"/>
        </w:rPr>
        <w:t>Agência Nacional para a Qualificação e Ensino Profissional</w:t>
      </w:r>
      <w:r w:rsidRPr="00C738F4">
        <w:rPr>
          <w:rFonts w:ascii="Verdana" w:hAnsi="Verdana" w:cs="Arial"/>
          <w:sz w:val="16"/>
          <w:szCs w:val="16"/>
          <w:lang w:val="it-IT"/>
        </w:rPr>
        <w:t>).</w:t>
      </w:r>
    </w:p>
  </w:footnote>
  <w:footnote w:id="62">
    <w:p w14:paraId="3DD9D018" w14:textId="77777777" w:rsidR="00F41B98" w:rsidRPr="0092007F" w:rsidRDefault="00F41B98" w:rsidP="00F41B98">
      <w:pPr>
        <w:pStyle w:val="FootnoteText"/>
        <w:spacing w:after="0"/>
        <w:ind w:left="0" w:firstLine="0"/>
        <w:jc w:val="left"/>
        <w:rPr>
          <w:rFonts w:cs="Arial"/>
          <w:sz w:val="16"/>
          <w:szCs w:val="16"/>
          <w:lang w:val="it-IT"/>
        </w:rPr>
      </w:pPr>
      <w:r w:rsidRPr="00C738F4">
        <w:rPr>
          <w:rStyle w:val="FootnoteReference"/>
          <w:rFonts w:ascii="Verdana" w:hAnsi="Verdana" w:cs="Arial"/>
          <w:sz w:val="16"/>
          <w:szCs w:val="16"/>
        </w:rPr>
        <w:footnoteRef/>
      </w:r>
      <w:r w:rsidRPr="00C738F4">
        <w:rPr>
          <w:rFonts w:ascii="Verdana" w:hAnsi="Verdana" w:cs="Arial"/>
          <w:sz w:val="16"/>
          <w:szCs w:val="16"/>
          <w:lang w:val="it-IT"/>
        </w:rPr>
        <w:t xml:space="preserve"> Portaria </w:t>
      </w:r>
      <w:proofErr w:type="gramStart"/>
      <w:r w:rsidRPr="00C738F4">
        <w:rPr>
          <w:rFonts w:ascii="Verdana" w:hAnsi="Verdana" w:cs="Arial"/>
          <w:sz w:val="16"/>
          <w:szCs w:val="16"/>
          <w:lang w:val="it-IT"/>
        </w:rPr>
        <w:t>n.º</w:t>
      </w:r>
      <w:proofErr w:type="gramEnd"/>
      <w:r w:rsidRPr="00C738F4">
        <w:rPr>
          <w:rFonts w:ascii="Verdana" w:hAnsi="Verdana" w:cs="Arial"/>
          <w:sz w:val="16"/>
          <w:szCs w:val="16"/>
          <w:lang w:val="it-IT"/>
        </w:rPr>
        <w:t xml:space="preserve"> 232/2016, 29/08.</w:t>
      </w:r>
    </w:p>
  </w:footnote>
  <w:footnote w:id="63">
    <w:p w14:paraId="652E0957" w14:textId="77777777" w:rsidR="00F41B98" w:rsidRPr="00C738F4" w:rsidRDefault="00F41B98" w:rsidP="00F41B98">
      <w:pPr>
        <w:pStyle w:val="FootnoteText"/>
        <w:spacing w:after="0"/>
        <w:ind w:left="0" w:firstLine="0"/>
        <w:jc w:val="left"/>
        <w:rPr>
          <w:rFonts w:ascii="Verdana" w:hAnsi="Verdana" w:cs="Arial"/>
          <w:sz w:val="16"/>
          <w:szCs w:val="16"/>
          <w:lang w:val="it-IT"/>
        </w:rPr>
      </w:pPr>
      <w:r w:rsidRPr="00C738F4">
        <w:rPr>
          <w:rStyle w:val="FootnoteReference"/>
          <w:rFonts w:ascii="Verdana" w:hAnsi="Verdana" w:cs="Arial"/>
          <w:sz w:val="16"/>
          <w:szCs w:val="16"/>
        </w:rPr>
        <w:footnoteRef/>
      </w:r>
      <w:r w:rsidRPr="00C738F4">
        <w:rPr>
          <w:rFonts w:ascii="Verdana" w:hAnsi="Verdana" w:cs="Arial"/>
          <w:sz w:val="16"/>
          <w:szCs w:val="16"/>
          <w:lang w:val="it-IT"/>
        </w:rPr>
        <w:t xml:space="preserve"> </w:t>
      </w:r>
      <w:r w:rsidRPr="00C738F4">
        <w:rPr>
          <w:rFonts w:ascii="Verdana" w:hAnsi="Verdana" w:cs="Arial"/>
          <w:sz w:val="16"/>
          <w:szCs w:val="16"/>
          <w:lang w:val="pt-PT"/>
        </w:rPr>
        <w:t xml:space="preserve">In Portuguese </w:t>
      </w:r>
      <w:r w:rsidRPr="00C738F4">
        <w:rPr>
          <w:rFonts w:ascii="Verdana" w:hAnsi="Verdana" w:cs="Arial"/>
          <w:i/>
          <w:sz w:val="16"/>
          <w:szCs w:val="16"/>
          <w:lang w:val="pt-PT"/>
        </w:rPr>
        <w:t>Quadro Nacional de Qualificações</w:t>
      </w:r>
      <w:r w:rsidRPr="00C738F4">
        <w:rPr>
          <w:rFonts w:ascii="Verdana" w:hAnsi="Verdana" w:cs="Arial"/>
          <w:color w:val="4F81BD" w:themeColor="accent1"/>
          <w:sz w:val="16"/>
          <w:szCs w:val="16"/>
          <w:lang w:val="pt-PT"/>
        </w:rPr>
        <w:t xml:space="preserve"> (</w:t>
      </w:r>
      <w:r w:rsidRPr="00C738F4">
        <w:rPr>
          <w:rFonts w:ascii="Verdana" w:hAnsi="Verdana" w:cs="Arial"/>
          <w:sz w:val="16"/>
          <w:szCs w:val="16"/>
          <w:lang w:val="it-IT"/>
        </w:rPr>
        <w:t>Portaria nº 782/2009, 23/07).</w:t>
      </w:r>
    </w:p>
  </w:footnote>
  <w:footnote w:id="64">
    <w:p w14:paraId="32293C9A" w14:textId="77777777" w:rsidR="00F41B98" w:rsidRPr="00C738F4" w:rsidRDefault="00F41B98" w:rsidP="00F41B98">
      <w:pPr>
        <w:pStyle w:val="FootnoteText"/>
        <w:spacing w:after="0"/>
        <w:ind w:left="0" w:firstLine="0"/>
        <w:jc w:val="left"/>
        <w:rPr>
          <w:rFonts w:ascii="Verdana" w:hAnsi="Verdana" w:cs="Arial"/>
          <w:sz w:val="16"/>
          <w:szCs w:val="16"/>
          <w:lang w:val="pt-BR"/>
        </w:rPr>
      </w:pPr>
      <w:r w:rsidRPr="00C738F4">
        <w:rPr>
          <w:rStyle w:val="FootnoteReference"/>
          <w:rFonts w:ascii="Verdana" w:hAnsi="Verdana" w:cs="Arial"/>
          <w:sz w:val="16"/>
          <w:szCs w:val="16"/>
        </w:rPr>
        <w:footnoteRef/>
      </w:r>
      <w:r w:rsidRPr="00C738F4">
        <w:rPr>
          <w:rFonts w:ascii="Verdana" w:hAnsi="Verdana" w:cs="Arial"/>
          <w:sz w:val="16"/>
          <w:szCs w:val="16"/>
          <w:lang w:val="it-IT"/>
        </w:rPr>
        <w:t xml:space="preserve"> See Instituto Nacional de Estatística (2013). </w:t>
      </w:r>
      <w:r w:rsidRPr="00C738F4">
        <w:rPr>
          <w:rFonts w:ascii="Verdana" w:hAnsi="Verdana" w:cs="Arial"/>
          <w:i/>
          <w:sz w:val="16"/>
          <w:szCs w:val="16"/>
          <w:lang w:val="it-IT"/>
        </w:rPr>
        <w:t>Aprendizagem ao Longo da Vida. Inquérito à Educação e Formação de Adultos 2011</w:t>
      </w:r>
      <w:r w:rsidRPr="00C738F4">
        <w:rPr>
          <w:rFonts w:ascii="Verdana" w:hAnsi="Verdana" w:cs="Arial"/>
          <w:sz w:val="16"/>
          <w:szCs w:val="16"/>
          <w:lang w:val="it-IT"/>
        </w:rPr>
        <w:t>. Lisboa: Instituto Nacional de Estatística.</w:t>
      </w:r>
    </w:p>
  </w:footnote>
  <w:footnote w:id="65">
    <w:p w14:paraId="7306AC4B" w14:textId="77777777" w:rsidR="00F41B98" w:rsidRPr="00C738F4" w:rsidRDefault="00F41B98" w:rsidP="00F41B98">
      <w:pPr>
        <w:pStyle w:val="FootnoteText"/>
        <w:spacing w:after="0"/>
        <w:ind w:left="0" w:firstLine="0"/>
        <w:jc w:val="left"/>
        <w:rPr>
          <w:rFonts w:ascii="Verdana" w:hAnsi="Verdana" w:cs="Arial"/>
          <w:sz w:val="16"/>
          <w:szCs w:val="16"/>
          <w:lang w:val="it-IT"/>
        </w:rPr>
      </w:pPr>
      <w:r w:rsidRPr="00C738F4">
        <w:rPr>
          <w:rStyle w:val="FootnoteReference"/>
          <w:rFonts w:ascii="Verdana" w:hAnsi="Verdana" w:cs="Arial"/>
          <w:sz w:val="16"/>
          <w:szCs w:val="16"/>
        </w:rPr>
        <w:footnoteRef/>
      </w:r>
      <w:r w:rsidRPr="00C738F4">
        <w:rPr>
          <w:rFonts w:ascii="Verdana" w:hAnsi="Verdana" w:cs="Arial"/>
          <w:sz w:val="16"/>
          <w:szCs w:val="16"/>
          <w:lang w:val="pt-PT"/>
        </w:rPr>
        <w:t xml:space="preserve"> See Mateus, A. (</w:t>
      </w:r>
      <w:proofErr w:type="gramStart"/>
      <w:r w:rsidRPr="00C738F4">
        <w:rPr>
          <w:rFonts w:ascii="Verdana" w:hAnsi="Verdana" w:cs="Arial"/>
          <w:sz w:val="16"/>
          <w:szCs w:val="16"/>
          <w:lang w:val="pt-PT"/>
        </w:rPr>
        <w:t>coord.)(</w:t>
      </w:r>
      <w:proofErr w:type="gramEnd"/>
      <w:r w:rsidRPr="00C738F4">
        <w:rPr>
          <w:rFonts w:ascii="Verdana" w:hAnsi="Verdana" w:cs="Arial"/>
          <w:sz w:val="16"/>
          <w:szCs w:val="16"/>
          <w:lang w:val="pt-PT"/>
        </w:rPr>
        <w:t xml:space="preserve">2015). </w:t>
      </w:r>
      <w:r w:rsidRPr="00C738F4">
        <w:rPr>
          <w:rFonts w:ascii="Verdana" w:hAnsi="Verdana" w:cs="Arial"/>
          <w:i/>
          <w:sz w:val="16"/>
          <w:szCs w:val="16"/>
          <w:lang w:val="pt-PT"/>
        </w:rPr>
        <w:t xml:space="preserve">Três Décadas de Portugal Europeu. </w:t>
      </w:r>
      <w:r w:rsidRPr="00C738F4">
        <w:rPr>
          <w:rFonts w:ascii="Verdana" w:hAnsi="Verdana" w:cs="Arial"/>
          <w:i/>
          <w:sz w:val="16"/>
          <w:szCs w:val="16"/>
          <w:lang w:val="it-IT"/>
        </w:rPr>
        <w:t>Balanço e Perspectivas</w:t>
      </w:r>
      <w:r w:rsidRPr="00C738F4">
        <w:rPr>
          <w:rFonts w:ascii="Verdana" w:hAnsi="Verdana" w:cs="Arial"/>
          <w:sz w:val="16"/>
          <w:szCs w:val="16"/>
          <w:lang w:val="it-IT"/>
        </w:rPr>
        <w:t>. Lisboa: Fundação Francisco Manuel dos Santos.</w:t>
      </w:r>
    </w:p>
  </w:footnote>
  <w:footnote w:id="66">
    <w:p w14:paraId="620CBCF8" w14:textId="77777777" w:rsidR="00F41B98" w:rsidRPr="0092007F" w:rsidRDefault="00F41B98" w:rsidP="00F41B98">
      <w:pPr>
        <w:pStyle w:val="FootnoteText"/>
        <w:spacing w:after="0"/>
        <w:ind w:left="0" w:firstLine="0"/>
        <w:jc w:val="left"/>
        <w:rPr>
          <w:rFonts w:cs="Arial"/>
          <w:sz w:val="16"/>
          <w:szCs w:val="16"/>
          <w:lang w:val="pt-BR"/>
        </w:rPr>
      </w:pPr>
      <w:r w:rsidRPr="00C738F4">
        <w:rPr>
          <w:rStyle w:val="FootnoteReference"/>
          <w:rFonts w:ascii="Verdana" w:hAnsi="Verdana" w:cs="Arial"/>
          <w:sz w:val="16"/>
          <w:szCs w:val="16"/>
        </w:rPr>
        <w:footnoteRef/>
      </w:r>
      <w:r w:rsidRPr="00C738F4">
        <w:rPr>
          <w:rFonts w:ascii="Verdana" w:hAnsi="Verdana" w:cs="Arial"/>
          <w:sz w:val="16"/>
          <w:szCs w:val="16"/>
          <w:lang w:val="it-IT"/>
        </w:rPr>
        <w:t xml:space="preserve"> See Ministério da Economia e do Emprego/Gabinete de Estratégia e Estudos (2013). </w:t>
      </w:r>
      <w:r w:rsidRPr="00C738F4">
        <w:rPr>
          <w:rFonts w:ascii="Verdana" w:hAnsi="Verdana" w:cs="Arial"/>
          <w:i/>
          <w:sz w:val="16"/>
          <w:szCs w:val="16"/>
          <w:lang w:val="it-IT"/>
        </w:rPr>
        <w:t>Inquérito ao Impacto das Ações de Formação Profissional nas Empresas</w:t>
      </w:r>
      <w:r w:rsidRPr="00C738F4">
        <w:rPr>
          <w:rFonts w:ascii="Verdana" w:hAnsi="Verdana" w:cs="Arial"/>
          <w:sz w:val="16"/>
          <w:szCs w:val="16"/>
          <w:lang w:val="it-IT"/>
        </w:rPr>
        <w:t xml:space="preserve">. Lisboa: Ministério da Economia e do Emprego/Gabinete de Estratégia e Estudos and </w:t>
      </w:r>
      <w:r w:rsidRPr="00C738F4">
        <w:rPr>
          <w:rFonts w:ascii="Verdana" w:hAnsi="Verdana" w:cs="Arial"/>
          <w:sz w:val="16"/>
          <w:szCs w:val="16"/>
          <w:lang w:val="pt-PT"/>
        </w:rPr>
        <w:t xml:space="preserve">Ministério do Trabalho, Solidariedade e Segurança/ Gabinete de Estratégia e Planeamento (2017). </w:t>
      </w:r>
      <w:r w:rsidRPr="00C738F4">
        <w:rPr>
          <w:rFonts w:ascii="Verdana" w:hAnsi="Verdana" w:cs="Arial"/>
          <w:i/>
          <w:sz w:val="16"/>
          <w:szCs w:val="16"/>
          <w:lang w:val="pt-PT"/>
        </w:rPr>
        <w:t>Relatório Anual de Formação Contínua 2015</w:t>
      </w:r>
      <w:r w:rsidRPr="00C738F4">
        <w:rPr>
          <w:rFonts w:ascii="Verdana" w:hAnsi="Verdana" w:cs="Arial"/>
          <w:sz w:val="16"/>
          <w:szCs w:val="16"/>
          <w:lang w:val="pt-PT"/>
        </w:rPr>
        <w:t>. Lisboa: Gabinete de Estratégia e Planeamento/Ministério do Trabalho, Solidariedade e Segurança.</w:t>
      </w:r>
    </w:p>
  </w:footnote>
  <w:footnote w:id="67">
    <w:p w14:paraId="4FAB01B4" w14:textId="77777777" w:rsidR="00F41B98" w:rsidRPr="00C738F4" w:rsidRDefault="00F41B98" w:rsidP="00F41B98">
      <w:pPr>
        <w:pStyle w:val="FootnoteText"/>
        <w:spacing w:after="0"/>
        <w:ind w:left="0" w:firstLine="0"/>
        <w:jc w:val="left"/>
        <w:rPr>
          <w:rFonts w:ascii="Verdana" w:hAnsi="Verdana" w:cs="Arial"/>
          <w:sz w:val="16"/>
          <w:szCs w:val="16"/>
          <w:lang w:val="pt-BR"/>
        </w:rPr>
      </w:pPr>
      <w:r w:rsidRPr="00C738F4">
        <w:rPr>
          <w:rStyle w:val="FootnoteReference"/>
          <w:rFonts w:ascii="Verdana" w:hAnsi="Verdana" w:cs="Arial"/>
          <w:sz w:val="16"/>
          <w:szCs w:val="16"/>
        </w:rPr>
        <w:footnoteRef/>
      </w:r>
      <w:r w:rsidRPr="00C738F4">
        <w:rPr>
          <w:rFonts w:ascii="Verdana" w:hAnsi="Verdana" w:cs="Arial"/>
          <w:sz w:val="16"/>
          <w:szCs w:val="16"/>
          <w:lang w:val="pt-PT"/>
        </w:rPr>
        <w:t xml:space="preserve"> For more details, see </w:t>
      </w:r>
      <w:r w:rsidRPr="00C738F4">
        <w:rPr>
          <w:rFonts w:ascii="Verdana" w:hAnsi="Verdana" w:cs="Arial"/>
          <w:sz w:val="16"/>
          <w:szCs w:val="16"/>
          <w:lang w:val="it-IT"/>
        </w:rPr>
        <w:t xml:space="preserve">Agência Nacional para a Qualificação (2011). </w:t>
      </w:r>
      <w:r w:rsidRPr="00C738F4">
        <w:rPr>
          <w:rFonts w:ascii="Verdana" w:hAnsi="Verdana" w:cs="Arial"/>
          <w:i/>
          <w:sz w:val="16"/>
          <w:szCs w:val="16"/>
          <w:lang w:val="it-IT"/>
        </w:rPr>
        <w:t>Linhas Orientadoras para o Futuro da Iniciativa Novas Oportunidades. 30 de Novembro de 2010</w:t>
      </w:r>
      <w:r w:rsidRPr="00C738F4">
        <w:rPr>
          <w:rFonts w:ascii="Verdana" w:hAnsi="Verdana" w:cs="Arial"/>
          <w:sz w:val="16"/>
          <w:szCs w:val="16"/>
          <w:lang w:val="it-IT"/>
        </w:rPr>
        <w:t>. Lisboa: Agência Nacional para a Qualificação.</w:t>
      </w:r>
    </w:p>
  </w:footnote>
  <w:footnote w:id="68">
    <w:p w14:paraId="6E6D3A7E" w14:textId="77777777" w:rsidR="00F41B98" w:rsidRPr="0092007F" w:rsidRDefault="00F41B98" w:rsidP="00F41B98">
      <w:pPr>
        <w:pStyle w:val="FootnoteText"/>
        <w:spacing w:after="0"/>
        <w:ind w:left="0" w:firstLine="0"/>
        <w:jc w:val="left"/>
        <w:rPr>
          <w:rFonts w:cs="Arial"/>
          <w:sz w:val="16"/>
          <w:szCs w:val="16"/>
          <w:lang w:val="pt-BR"/>
        </w:rPr>
      </w:pPr>
      <w:r w:rsidRPr="00C738F4">
        <w:rPr>
          <w:rStyle w:val="FootnoteReference"/>
          <w:rFonts w:ascii="Verdana" w:hAnsi="Verdana" w:cs="Arial"/>
          <w:sz w:val="16"/>
          <w:szCs w:val="16"/>
        </w:rPr>
        <w:footnoteRef/>
      </w:r>
      <w:r w:rsidRPr="00C738F4">
        <w:rPr>
          <w:rFonts w:ascii="Verdana" w:hAnsi="Verdana" w:cs="Arial"/>
          <w:sz w:val="16"/>
          <w:szCs w:val="16"/>
          <w:lang w:val="it-IT"/>
        </w:rPr>
        <w:t xml:space="preserve"> Portaria </w:t>
      </w:r>
      <w:proofErr w:type="gramStart"/>
      <w:r w:rsidRPr="00C738F4">
        <w:rPr>
          <w:rFonts w:ascii="Verdana" w:hAnsi="Verdana" w:cs="Arial"/>
          <w:sz w:val="16"/>
          <w:szCs w:val="16"/>
          <w:lang w:val="it-IT"/>
        </w:rPr>
        <w:t>n.º</w:t>
      </w:r>
      <w:proofErr w:type="gramEnd"/>
      <w:r w:rsidRPr="00C738F4">
        <w:rPr>
          <w:rFonts w:ascii="Verdana" w:hAnsi="Verdana" w:cs="Arial"/>
          <w:sz w:val="16"/>
          <w:szCs w:val="16"/>
          <w:lang w:val="it-IT"/>
        </w:rPr>
        <w:t xml:space="preserve"> 135-A/2013, 20/03.</w:t>
      </w:r>
    </w:p>
  </w:footnote>
  <w:footnote w:id="69">
    <w:p w14:paraId="21A415E8" w14:textId="77777777" w:rsidR="00F41B98" w:rsidRPr="00F32E15" w:rsidRDefault="00F41B98" w:rsidP="00F41B98">
      <w:pPr>
        <w:spacing w:after="0"/>
        <w:jc w:val="left"/>
        <w:rPr>
          <w:rFonts w:ascii="Verdana" w:hAnsi="Verdana" w:cs="Arial"/>
          <w:sz w:val="16"/>
          <w:szCs w:val="16"/>
          <w:lang w:val="en-GB"/>
        </w:rPr>
      </w:pPr>
      <w:r w:rsidRPr="007C74C8">
        <w:rPr>
          <w:rStyle w:val="FootnoteReference"/>
          <w:rFonts w:ascii="Verdana" w:hAnsi="Verdana" w:cs="Arial"/>
          <w:sz w:val="16"/>
          <w:szCs w:val="16"/>
        </w:rPr>
        <w:footnoteRef/>
      </w:r>
      <w:r w:rsidRPr="00F32E15">
        <w:rPr>
          <w:rFonts w:ascii="Verdana" w:hAnsi="Verdana" w:cs="Arial"/>
          <w:sz w:val="16"/>
          <w:szCs w:val="16"/>
          <w:lang w:val="en-GB"/>
        </w:rPr>
        <w:t xml:space="preserve"> Data accessed on 27/09/2016 in </w:t>
      </w:r>
      <w:hyperlink r:id="rId9" w:history="1">
        <w:r w:rsidRPr="00F32E15">
          <w:rPr>
            <w:rStyle w:val="Hyperlink"/>
            <w:rFonts w:ascii="Verdana" w:hAnsi="Verdana" w:cs="Arial"/>
            <w:sz w:val="16"/>
            <w:szCs w:val="16"/>
            <w:lang w:val="en-GB"/>
          </w:rPr>
          <w:t>http://www.dgeec.mec.pt/np4/96/{$clientServletPath}/?newsId=145&amp;fileName=GEPE_DSE_EE200708_ADULTOS.pdf</w:t>
        </w:r>
      </w:hyperlink>
      <w:r w:rsidRPr="00F32E15">
        <w:rPr>
          <w:rFonts w:ascii="Verdana" w:hAnsi="Verdana" w:cs="Arial"/>
          <w:sz w:val="16"/>
          <w:szCs w:val="16"/>
          <w:lang w:val="en-GB"/>
        </w:rPr>
        <w:t xml:space="preserve">, </w:t>
      </w:r>
      <w:hyperlink r:id="rId10" w:history="1">
        <w:r w:rsidRPr="00F32E15">
          <w:rPr>
            <w:rStyle w:val="Hyperlink"/>
            <w:rFonts w:ascii="Verdana" w:hAnsi="Verdana" w:cs="Arial"/>
            <w:sz w:val="16"/>
            <w:szCs w:val="16"/>
            <w:lang w:val="en-GB"/>
          </w:rPr>
          <w:t>http://www.dgeec.mec.pt/np4/96/{$clientServletPath}/?newsId=145&amp;fileName=EE0809Adultos.pdf</w:t>
        </w:r>
      </w:hyperlink>
      <w:r w:rsidRPr="00F32E15">
        <w:rPr>
          <w:rFonts w:ascii="Verdana" w:hAnsi="Verdana" w:cs="Arial"/>
          <w:sz w:val="16"/>
          <w:szCs w:val="16"/>
          <w:lang w:val="en-GB"/>
        </w:rPr>
        <w:t xml:space="preserve">, </w:t>
      </w:r>
      <w:hyperlink r:id="rId11" w:history="1">
        <w:r w:rsidRPr="00F32E15">
          <w:rPr>
            <w:rStyle w:val="Hyperlink"/>
            <w:rFonts w:ascii="Verdana" w:hAnsi="Verdana" w:cs="Arial"/>
            <w:sz w:val="16"/>
            <w:szCs w:val="16"/>
            <w:lang w:val="en-GB"/>
          </w:rPr>
          <w:t>http://www.dgeec.mec.pt/np4/96/{$clientServletPath}/?newsId=145&amp;fileName=EE0910Adultos.pdf</w:t>
        </w:r>
      </w:hyperlink>
      <w:r w:rsidRPr="00F32E15">
        <w:rPr>
          <w:rFonts w:ascii="Verdana" w:hAnsi="Verdana" w:cs="Arial"/>
          <w:sz w:val="16"/>
          <w:szCs w:val="16"/>
          <w:lang w:val="en-GB"/>
        </w:rPr>
        <w:t xml:space="preserve">, </w:t>
      </w:r>
      <w:hyperlink r:id="rId12" w:history="1">
        <w:r w:rsidRPr="00F32E15">
          <w:rPr>
            <w:rStyle w:val="Hyperlink"/>
            <w:rFonts w:ascii="Verdana" w:hAnsi="Verdana" w:cs="Arial"/>
            <w:sz w:val="16"/>
            <w:szCs w:val="16"/>
            <w:lang w:val="en-GB"/>
          </w:rPr>
          <w:t>http://www.dgeec.mec.pt/np4/96/{$clientServletPath}/?newsId=145&amp;fileName=EE1011Adultos.pdf</w:t>
        </w:r>
      </w:hyperlink>
      <w:r w:rsidRPr="00F32E15">
        <w:rPr>
          <w:rFonts w:ascii="Verdana" w:hAnsi="Verdana" w:cs="Arial"/>
          <w:sz w:val="16"/>
          <w:szCs w:val="16"/>
          <w:lang w:val="en-GB"/>
        </w:rPr>
        <w:t xml:space="preserve">, </w:t>
      </w:r>
      <w:hyperlink r:id="rId13" w:history="1">
        <w:r w:rsidRPr="00F32E15">
          <w:rPr>
            <w:rStyle w:val="Hyperlink"/>
            <w:rFonts w:ascii="Verdana" w:hAnsi="Verdana" w:cs="Arial"/>
            <w:sz w:val="16"/>
            <w:szCs w:val="16"/>
            <w:lang w:val="en-GB"/>
          </w:rPr>
          <w:t>http://www.dgeec.mec.pt/np4/96/{$clientServletPath}/?newsId=145&amp;fileName=EEF2012_Adultos.pdf</w:t>
        </w:r>
      </w:hyperlink>
      <w:r w:rsidRPr="00F32E15">
        <w:rPr>
          <w:rFonts w:ascii="Verdana" w:hAnsi="Verdana" w:cs="Arial"/>
          <w:sz w:val="16"/>
          <w:szCs w:val="16"/>
          <w:lang w:val="en-GB"/>
        </w:rPr>
        <w:t xml:space="preserve">, </w:t>
      </w:r>
      <w:hyperlink r:id="rId14" w:history="1">
        <w:r w:rsidRPr="00F32E15">
          <w:rPr>
            <w:rStyle w:val="Hyperlink"/>
            <w:rFonts w:ascii="Verdana" w:hAnsi="Verdana" w:cs="Arial"/>
            <w:sz w:val="16"/>
            <w:szCs w:val="16"/>
            <w:lang w:val="en-GB"/>
          </w:rPr>
          <w:t>http://www.dgeec.mec.pt/np4/96/{$clientServletPath}/?newsId=145&amp;fileName=2_EEF2013.Adultos1.pdf</w:t>
        </w:r>
      </w:hyperlink>
      <w:r w:rsidRPr="00F32E15">
        <w:rPr>
          <w:rFonts w:ascii="Verdana" w:hAnsi="Verdana" w:cs="Arial"/>
          <w:sz w:val="16"/>
          <w:szCs w:val="16"/>
          <w:lang w:val="en-GB"/>
        </w:rPr>
        <w:t xml:space="preserve">, </w:t>
      </w:r>
      <w:hyperlink r:id="rId15" w:history="1">
        <w:r w:rsidRPr="00F32E15">
          <w:rPr>
            <w:rStyle w:val="Hyperlink"/>
            <w:rFonts w:ascii="Verdana" w:hAnsi="Verdana" w:cs="Arial"/>
            <w:sz w:val="16"/>
            <w:szCs w:val="16"/>
            <w:lang w:val="en-GB"/>
          </w:rPr>
          <w:t>http://www.dgeec.mec.pt/np4/96/{$clientServletPath}/?newsId=145&amp;fileName=EE2014_Adultos.pdf</w:t>
        </w:r>
      </w:hyperlink>
      <w:r w:rsidRPr="00F32E15">
        <w:rPr>
          <w:rFonts w:ascii="Verdana" w:hAnsi="Verdana" w:cs="Arial"/>
          <w:sz w:val="16"/>
          <w:szCs w:val="16"/>
          <w:lang w:val="en-GB"/>
        </w:rPr>
        <w:t xml:space="preserve">, </w:t>
      </w:r>
      <w:hyperlink r:id="rId16" w:history="1">
        <w:r w:rsidRPr="00F32E15">
          <w:rPr>
            <w:rStyle w:val="Hyperlink"/>
            <w:rFonts w:ascii="Verdana" w:hAnsi="Verdana" w:cs="Arial"/>
            <w:sz w:val="16"/>
            <w:szCs w:val="16"/>
            <w:lang w:val="en-GB"/>
          </w:rPr>
          <w:t>http://www.dgeec.mec.pt/np4/96/{$clientServletPath}/?newsId=145&amp;fileName=DGEEC_DSEE_2016_EE20142015_Adultos.pdf</w:t>
        </w:r>
      </w:hyperlink>
      <w:r w:rsidRPr="00F32E15">
        <w:rPr>
          <w:rFonts w:ascii="Verdana" w:hAnsi="Verdana" w:cs="Arial"/>
          <w:sz w:val="16"/>
          <w:szCs w:val="16"/>
          <w:lang w:val="en-GB"/>
        </w:rPr>
        <w:t xml:space="preserve">; and </w:t>
      </w:r>
      <w:hyperlink r:id="rId17" w:history="1">
        <w:r w:rsidRPr="00F32E15">
          <w:rPr>
            <w:rStyle w:val="Hyperlink"/>
            <w:rFonts w:ascii="Verdana" w:hAnsi="Verdana" w:cs="Arial"/>
            <w:sz w:val="16"/>
            <w:szCs w:val="16"/>
            <w:lang w:val="en-GB"/>
          </w:rPr>
          <w:t>http://www.dgeec.mec.pt/np4/96/%7B$clientServletPath%7D/?newsId=145&amp;fileName=DGEEC_DSEE_2017_EE20152016_ADULTOS.pdf</w:t>
        </w:r>
      </w:hyperlink>
      <w:r w:rsidRPr="00F32E15">
        <w:rPr>
          <w:rFonts w:ascii="Verdana" w:hAnsi="Verdana" w:cs="Arial"/>
          <w:sz w:val="16"/>
          <w:szCs w:val="16"/>
          <w:lang w:val="en-GB"/>
        </w:rPr>
        <w:t xml:space="preserve"> accessed on 7/10/2017</w:t>
      </w:r>
    </w:p>
  </w:footnote>
  <w:footnote w:id="70">
    <w:p w14:paraId="2EE93B60" w14:textId="77777777" w:rsidR="00F41B98" w:rsidRPr="0092007F" w:rsidRDefault="00F41B98" w:rsidP="00F41B98">
      <w:pPr>
        <w:pStyle w:val="FootnoteText"/>
        <w:spacing w:after="0"/>
        <w:ind w:left="0" w:firstLine="0"/>
        <w:jc w:val="left"/>
        <w:rPr>
          <w:rFonts w:cs="Arial"/>
          <w:sz w:val="16"/>
          <w:szCs w:val="16"/>
          <w:lang w:val="pt-BR"/>
        </w:rPr>
      </w:pPr>
      <w:r w:rsidRPr="007C74C8">
        <w:rPr>
          <w:rStyle w:val="FootnoteReference"/>
          <w:rFonts w:ascii="Verdana" w:hAnsi="Verdana" w:cs="Arial"/>
          <w:sz w:val="16"/>
          <w:szCs w:val="16"/>
        </w:rPr>
        <w:footnoteRef/>
      </w:r>
      <w:r w:rsidRPr="00F32E15">
        <w:rPr>
          <w:rFonts w:ascii="Verdana" w:hAnsi="Verdana" w:cs="Arial"/>
          <w:sz w:val="16"/>
          <w:szCs w:val="16"/>
          <w:lang w:val="en-GB"/>
        </w:rPr>
        <w:t xml:space="preserve"> By that time the existing adult education centres were called Centres for qualification and vocational education and training (in Portuguese </w:t>
      </w:r>
      <w:r w:rsidRPr="00F32E15">
        <w:rPr>
          <w:rFonts w:ascii="Verdana" w:hAnsi="Verdana" w:cs="Arial"/>
          <w:i/>
          <w:sz w:val="16"/>
          <w:szCs w:val="16"/>
          <w:lang w:val="en-GB"/>
        </w:rPr>
        <w:t>Centros para a Qualificação e Ensino Profissional</w:t>
      </w:r>
      <w:r w:rsidRPr="00F32E15">
        <w:rPr>
          <w:rFonts w:ascii="Verdana" w:hAnsi="Verdana" w:cs="Arial"/>
          <w:sz w:val="16"/>
          <w:szCs w:val="16"/>
          <w:lang w:val="en-GB"/>
        </w:rPr>
        <w:t>).</w:t>
      </w:r>
    </w:p>
  </w:footnote>
  <w:footnote w:id="71">
    <w:p w14:paraId="4497A066" w14:textId="77777777" w:rsidR="00F41B98" w:rsidRPr="007C74C8" w:rsidRDefault="00F41B98" w:rsidP="00F41B98">
      <w:pPr>
        <w:pStyle w:val="FootnoteText"/>
        <w:spacing w:after="0"/>
        <w:ind w:left="0" w:firstLine="0"/>
        <w:jc w:val="left"/>
        <w:rPr>
          <w:rFonts w:ascii="Verdana" w:hAnsi="Verdana" w:cs="Arial"/>
          <w:b/>
          <w:sz w:val="16"/>
          <w:szCs w:val="16"/>
          <w:lang w:val="pt-BR"/>
        </w:rPr>
      </w:pPr>
      <w:r w:rsidRPr="007C74C8">
        <w:rPr>
          <w:rStyle w:val="FootnoteReference"/>
          <w:rFonts w:ascii="Verdana" w:hAnsi="Verdana" w:cs="Arial"/>
          <w:sz w:val="16"/>
          <w:szCs w:val="16"/>
        </w:rPr>
        <w:footnoteRef/>
      </w:r>
      <w:r w:rsidRPr="007C74C8">
        <w:rPr>
          <w:rFonts w:ascii="Verdana" w:hAnsi="Verdana" w:cs="Arial"/>
          <w:sz w:val="16"/>
          <w:szCs w:val="16"/>
          <w:lang w:val="pt-PT"/>
        </w:rPr>
        <w:t xml:space="preserve"> In Portuguese, </w:t>
      </w:r>
      <w:r w:rsidRPr="007C74C8">
        <w:rPr>
          <w:rFonts w:ascii="Verdana" w:hAnsi="Verdana" w:cs="Arial"/>
          <w:i/>
          <w:sz w:val="16"/>
          <w:szCs w:val="16"/>
          <w:lang w:val="pt-PT"/>
        </w:rPr>
        <w:t>Guia Metodológico de Orientação ao Longo da Vida</w:t>
      </w:r>
      <w:r w:rsidRPr="007C74C8">
        <w:rPr>
          <w:rFonts w:ascii="Verdana" w:hAnsi="Verdana" w:cs="Arial"/>
          <w:sz w:val="16"/>
          <w:szCs w:val="16"/>
          <w:lang w:val="pt-PT"/>
        </w:rPr>
        <w:t>.</w:t>
      </w:r>
    </w:p>
  </w:footnote>
  <w:footnote w:id="72">
    <w:p w14:paraId="07F150AF" w14:textId="77777777" w:rsidR="00F41B98" w:rsidRPr="007C74C8" w:rsidRDefault="00F41B98" w:rsidP="00F41B98">
      <w:pPr>
        <w:pStyle w:val="FootnoteText"/>
        <w:spacing w:after="0"/>
        <w:ind w:left="0" w:firstLine="0"/>
        <w:jc w:val="left"/>
        <w:rPr>
          <w:rFonts w:ascii="Verdana" w:hAnsi="Verdana" w:cs="Arial"/>
          <w:sz w:val="16"/>
          <w:szCs w:val="16"/>
          <w:lang w:val="pt-BR"/>
        </w:rPr>
      </w:pPr>
      <w:r w:rsidRPr="007C74C8">
        <w:rPr>
          <w:rStyle w:val="FootnoteReference"/>
          <w:rFonts w:ascii="Verdana" w:hAnsi="Verdana" w:cs="Arial"/>
          <w:sz w:val="16"/>
          <w:szCs w:val="16"/>
        </w:rPr>
        <w:footnoteRef/>
      </w:r>
      <w:r w:rsidRPr="007C74C8">
        <w:rPr>
          <w:rFonts w:ascii="Verdana" w:hAnsi="Verdana" w:cs="Arial"/>
          <w:sz w:val="16"/>
          <w:szCs w:val="16"/>
          <w:lang w:val="it-IT"/>
        </w:rPr>
        <w:t xml:space="preserve"> Portaria </w:t>
      </w:r>
      <w:proofErr w:type="gramStart"/>
      <w:r w:rsidRPr="007C74C8">
        <w:rPr>
          <w:rFonts w:ascii="Verdana" w:hAnsi="Verdana" w:cs="Arial"/>
          <w:sz w:val="16"/>
          <w:szCs w:val="16"/>
          <w:lang w:val="it-IT"/>
        </w:rPr>
        <w:t>n.º</w:t>
      </w:r>
      <w:proofErr w:type="gramEnd"/>
      <w:r w:rsidRPr="007C74C8">
        <w:rPr>
          <w:rFonts w:ascii="Verdana" w:hAnsi="Verdana" w:cs="Arial"/>
          <w:sz w:val="16"/>
          <w:szCs w:val="16"/>
          <w:lang w:val="it-IT"/>
        </w:rPr>
        <w:t xml:space="preserve"> 232/2016, 29/08.</w:t>
      </w:r>
    </w:p>
  </w:footnote>
  <w:footnote w:id="73">
    <w:p w14:paraId="36B7B7C4" w14:textId="77777777" w:rsidR="00F41B98" w:rsidRPr="007C74C8" w:rsidRDefault="00F41B98" w:rsidP="00F41B98">
      <w:pPr>
        <w:pStyle w:val="FootnoteText"/>
        <w:spacing w:after="0"/>
        <w:ind w:left="0" w:firstLine="0"/>
        <w:jc w:val="left"/>
        <w:rPr>
          <w:rFonts w:ascii="Verdana" w:hAnsi="Verdana" w:cs="Arial"/>
          <w:sz w:val="16"/>
          <w:szCs w:val="16"/>
          <w:lang w:val="pt-BR"/>
        </w:rPr>
      </w:pPr>
      <w:r w:rsidRPr="007C74C8">
        <w:rPr>
          <w:rStyle w:val="FootnoteReference"/>
          <w:rFonts w:ascii="Verdana" w:hAnsi="Verdana" w:cs="Arial"/>
          <w:sz w:val="16"/>
          <w:szCs w:val="16"/>
        </w:rPr>
        <w:footnoteRef/>
      </w:r>
      <w:r w:rsidRPr="007C74C8">
        <w:rPr>
          <w:rFonts w:ascii="Verdana" w:hAnsi="Verdana" w:cs="Arial"/>
          <w:sz w:val="16"/>
          <w:szCs w:val="16"/>
          <w:lang w:val="it-IT"/>
        </w:rPr>
        <w:t xml:space="preserve"> Decreto-lei </w:t>
      </w:r>
      <w:proofErr w:type="gramStart"/>
      <w:r w:rsidRPr="007C74C8">
        <w:rPr>
          <w:rFonts w:ascii="Verdana" w:hAnsi="Verdana" w:cs="Arial"/>
          <w:sz w:val="16"/>
          <w:szCs w:val="16"/>
          <w:lang w:val="it-IT"/>
        </w:rPr>
        <w:t>n.º</w:t>
      </w:r>
      <w:proofErr w:type="gramEnd"/>
      <w:r w:rsidRPr="007C74C8">
        <w:rPr>
          <w:rFonts w:ascii="Verdana" w:hAnsi="Verdana" w:cs="Arial"/>
          <w:sz w:val="16"/>
          <w:szCs w:val="16"/>
          <w:lang w:val="it-IT"/>
        </w:rPr>
        <w:t xml:space="preserve"> 85/2009, 27/08.</w:t>
      </w:r>
    </w:p>
  </w:footnote>
  <w:footnote w:id="74">
    <w:p w14:paraId="4111A4FB" w14:textId="77777777" w:rsidR="00F41B98" w:rsidRPr="0092007F" w:rsidRDefault="00F41B98" w:rsidP="00F41B98">
      <w:pPr>
        <w:pStyle w:val="FootnoteText"/>
        <w:spacing w:after="0"/>
        <w:ind w:left="0" w:firstLine="0"/>
        <w:jc w:val="left"/>
        <w:rPr>
          <w:rFonts w:cs="Arial"/>
          <w:sz w:val="16"/>
          <w:szCs w:val="16"/>
          <w:lang w:val="pt-BR"/>
        </w:rPr>
      </w:pPr>
      <w:r w:rsidRPr="007C74C8">
        <w:rPr>
          <w:rStyle w:val="FootnoteReference"/>
          <w:rFonts w:ascii="Verdana" w:hAnsi="Verdana" w:cs="Arial"/>
          <w:sz w:val="16"/>
          <w:szCs w:val="16"/>
        </w:rPr>
        <w:footnoteRef/>
      </w:r>
      <w:r w:rsidRPr="007C74C8">
        <w:rPr>
          <w:rFonts w:ascii="Verdana" w:hAnsi="Verdana" w:cs="Arial"/>
          <w:sz w:val="16"/>
          <w:szCs w:val="16"/>
          <w:lang w:val="pt-BR"/>
        </w:rPr>
        <w:t xml:space="preserve"> </w:t>
      </w:r>
      <w:r w:rsidRPr="007C74C8">
        <w:rPr>
          <w:rFonts w:ascii="Verdana" w:hAnsi="Verdana" w:cs="Arial"/>
          <w:sz w:val="16"/>
          <w:szCs w:val="16"/>
          <w:lang w:val="pt-BR"/>
        </w:rPr>
        <w:t xml:space="preserve">Recognition of prior learning (in Portuguese </w:t>
      </w:r>
      <w:r w:rsidRPr="007C74C8">
        <w:rPr>
          <w:rFonts w:ascii="Verdana" w:hAnsi="Verdana" w:cs="Arial"/>
          <w:i/>
          <w:sz w:val="16"/>
          <w:szCs w:val="16"/>
          <w:lang w:val="pt-BR"/>
        </w:rPr>
        <w:t>Reconhecimento, Validação e Certificação de Competências</w:t>
      </w:r>
      <w:r w:rsidRPr="007C74C8">
        <w:rPr>
          <w:rFonts w:ascii="Verdana" w:hAnsi="Verdana" w:cs="Arial"/>
          <w:sz w:val="16"/>
          <w:szCs w:val="16"/>
          <w:lang w:val="pt-BR"/>
        </w:rPr>
        <w:t xml:space="preserve">) - Portaria n.º 211/2011, 26/05; Portaria n.º 232/2016, 29/08, and adult education and training courses (in Portuguese </w:t>
      </w:r>
      <w:r w:rsidRPr="007C74C8">
        <w:rPr>
          <w:rFonts w:ascii="Verdana" w:hAnsi="Verdana" w:cs="Arial"/>
          <w:i/>
          <w:sz w:val="16"/>
          <w:szCs w:val="16"/>
          <w:lang w:val="pt-BR"/>
        </w:rPr>
        <w:t>Cursos de Educação e Formação de Adultos</w:t>
      </w:r>
      <w:r w:rsidRPr="007C74C8">
        <w:rPr>
          <w:rFonts w:ascii="Verdana" w:hAnsi="Verdana" w:cs="Arial"/>
          <w:sz w:val="16"/>
          <w:szCs w:val="16"/>
          <w:lang w:val="pt-BR"/>
        </w:rPr>
        <w:t>) (Portaria n.º 817/2007, 27/07; Portaria n.º 230/2008, 7/03; Portaria n.º 710/2010, 17/08; Portaria n.º 1100/2010, 22/10; Portaria n.º 283/2011, 24/10; Despacho n.º 334/2012, 11/01).</w:t>
      </w:r>
    </w:p>
  </w:footnote>
  <w:footnote w:id="75">
    <w:p w14:paraId="5CF315A9" w14:textId="77777777" w:rsidR="00F41B98" w:rsidRPr="00503DFE" w:rsidRDefault="00F41B98" w:rsidP="00F41B98">
      <w:pPr>
        <w:pStyle w:val="FootnoteText"/>
        <w:spacing w:after="0"/>
        <w:ind w:left="0" w:firstLine="0"/>
        <w:jc w:val="left"/>
        <w:rPr>
          <w:rFonts w:ascii="Verdana" w:hAnsi="Verdana" w:cs="Arial"/>
          <w:sz w:val="16"/>
          <w:szCs w:val="16"/>
          <w:lang w:val="en-US"/>
        </w:rPr>
      </w:pPr>
      <w:r w:rsidRPr="00503DFE">
        <w:rPr>
          <w:rStyle w:val="FootnoteReference"/>
          <w:rFonts w:ascii="Verdana" w:hAnsi="Verdana" w:cs="Arial"/>
          <w:sz w:val="16"/>
          <w:szCs w:val="16"/>
        </w:rPr>
        <w:footnoteRef/>
      </w:r>
      <w:r w:rsidRPr="00F32E15">
        <w:rPr>
          <w:rFonts w:ascii="Verdana" w:hAnsi="Verdana" w:cs="Arial"/>
          <w:sz w:val="16"/>
          <w:szCs w:val="16"/>
          <w:lang w:val="en-GB"/>
        </w:rPr>
        <w:t xml:space="preserve"> According to official numbers from http://www.portaldasqualificacoes.pt/Pesquisa/pesquisarCQEP.jsp, accessed on 20/09/2017.</w:t>
      </w:r>
    </w:p>
  </w:footnote>
  <w:footnote w:id="76">
    <w:p w14:paraId="076C163D" w14:textId="77777777" w:rsidR="00F41B98" w:rsidRPr="0092007F" w:rsidRDefault="00F41B98" w:rsidP="00F41B98">
      <w:pPr>
        <w:pStyle w:val="FootnoteText"/>
        <w:spacing w:after="0"/>
        <w:ind w:left="0" w:firstLine="0"/>
        <w:jc w:val="left"/>
        <w:rPr>
          <w:rFonts w:cs="Arial"/>
          <w:sz w:val="16"/>
          <w:szCs w:val="16"/>
          <w:lang w:val="it-IT"/>
        </w:rPr>
      </w:pPr>
      <w:r w:rsidRPr="00503DFE">
        <w:rPr>
          <w:rStyle w:val="FootnoteReference"/>
          <w:rFonts w:ascii="Verdana" w:hAnsi="Verdana" w:cs="Arial"/>
          <w:sz w:val="16"/>
          <w:szCs w:val="16"/>
        </w:rPr>
        <w:footnoteRef/>
      </w:r>
      <w:r w:rsidRPr="00503DFE">
        <w:rPr>
          <w:rFonts w:ascii="Verdana" w:hAnsi="Verdana" w:cs="Arial"/>
          <w:sz w:val="16"/>
          <w:szCs w:val="16"/>
          <w:lang w:val="it-IT"/>
        </w:rPr>
        <w:t xml:space="preserve"> Portaria </w:t>
      </w:r>
      <w:proofErr w:type="gramStart"/>
      <w:r w:rsidRPr="00503DFE">
        <w:rPr>
          <w:rFonts w:ascii="Verdana" w:hAnsi="Verdana" w:cs="Arial"/>
          <w:sz w:val="16"/>
          <w:szCs w:val="16"/>
          <w:lang w:val="it-IT"/>
        </w:rPr>
        <w:t>n.º</w:t>
      </w:r>
      <w:proofErr w:type="gramEnd"/>
      <w:r w:rsidRPr="00503DFE">
        <w:rPr>
          <w:rFonts w:ascii="Verdana" w:hAnsi="Verdana" w:cs="Arial"/>
          <w:sz w:val="16"/>
          <w:szCs w:val="16"/>
          <w:lang w:val="it-IT"/>
        </w:rPr>
        <w:t xml:space="preserve"> 232/2016, 29/08.</w:t>
      </w:r>
    </w:p>
  </w:footnote>
  <w:footnote w:id="77">
    <w:p w14:paraId="0D21D774" w14:textId="77777777" w:rsidR="00F41B98" w:rsidRPr="00F32E15" w:rsidRDefault="00F41B98" w:rsidP="00F41B98">
      <w:pPr>
        <w:pStyle w:val="FootnoteText"/>
        <w:spacing w:after="0"/>
        <w:ind w:left="0" w:firstLine="0"/>
        <w:jc w:val="left"/>
        <w:rPr>
          <w:rFonts w:ascii="Verdana" w:hAnsi="Verdana"/>
          <w:sz w:val="16"/>
          <w:szCs w:val="16"/>
          <w:lang w:val="en-GB"/>
        </w:rPr>
      </w:pPr>
      <w:r w:rsidRPr="00503DFE">
        <w:rPr>
          <w:rStyle w:val="FootnoteReference"/>
          <w:rFonts w:ascii="Verdana" w:hAnsi="Verdana"/>
          <w:sz w:val="16"/>
          <w:szCs w:val="16"/>
        </w:rPr>
        <w:footnoteRef/>
      </w:r>
      <w:r w:rsidRPr="00F32E15">
        <w:rPr>
          <w:rFonts w:ascii="Verdana" w:hAnsi="Verdana"/>
          <w:sz w:val="16"/>
          <w:szCs w:val="16"/>
          <w:lang w:val="en-GB"/>
        </w:rPr>
        <w:t xml:space="preserve"> Decreto Lei n.º 64/2006, 21/03</w:t>
      </w:r>
    </w:p>
  </w:footnote>
  <w:footnote w:id="78">
    <w:p w14:paraId="665324A0" w14:textId="77777777" w:rsidR="00F41B98" w:rsidRPr="00F32E15" w:rsidRDefault="00F41B98" w:rsidP="00F41B98">
      <w:pPr>
        <w:pStyle w:val="FootnoteText"/>
        <w:spacing w:after="0"/>
        <w:ind w:left="0" w:firstLine="0"/>
        <w:jc w:val="left"/>
        <w:rPr>
          <w:rFonts w:ascii="Verdana" w:hAnsi="Verdana"/>
          <w:sz w:val="16"/>
          <w:szCs w:val="16"/>
          <w:lang w:val="en-GB"/>
        </w:rPr>
      </w:pPr>
      <w:r w:rsidRPr="00503DFE">
        <w:rPr>
          <w:rStyle w:val="FootnoteReference"/>
          <w:rFonts w:ascii="Verdana" w:hAnsi="Verdana"/>
          <w:sz w:val="16"/>
          <w:szCs w:val="16"/>
        </w:rPr>
        <w:footnoteRef/>
      </w:r>
      <w:r w:rsidRPr="00F32E15">
        <w:rPr>
          <w:rFonts w:ascii="Verdana" w:hAnsi="Verdana"/>
          <w:sz w:val="16"/>
          <w:szCs w:val="16"/>
          <w:lang w:val="en-GB"/>
        </w:rPr>
        <w:t xml:space="preserve"> Decreto Lei n.º 63/2016, 13/09</w:t>
      </w:r>
    </w:p>
  </w:footnote>
  <w:footnote w:id="79">
    <w:p w14:paraId="1EB103C4" w14:textId="77777777" w:rsidR="00F41B98" w:rsidRPr="00F32E15" w:rsidRDefault="00F41B98" w:rsidP="00F41B98">
      <w:pPr>
        <w:pStyle w:val="FootnoteText"/>
        <w:spacing w:after="0"/>
        <w:ind w:left="0" w:firstLine="0"/>
        <w:jc w:val="left"/>
        <w:rPr>
          <w:rFonts w:ascii="Verdana" w:hAnsi="Verdana"/>
          <w:sz w:val="16"/>
          <w:szCs w:val="16"/>
          <w:lang w:val="en-GB"/>
        </w:rPr>
      </w:pPr>
      <w:r w:rsidRPr="00503DFE">
        <w:rPr>
          <w:rStyle w:val="FootnoteReference"/>
          <w:rFonts w:ascii="Verdana" w:hAnsi="Verdana"/>
          <w:sz w:val="16"/>
          <w:szCs w:val="16"/>
        </w:rPr>
        <w:footnoteRef/>
      </w:r>
      <w:r w:rsidRPr="00F32E15">
        <w:rPr>
          <w:rFonts w:ascii="Verdana" w:hAnsi="Verdana"/>
          <w:sz w:val="16"/>
          <w:szCs w:val="16"/>
          <w:lang w:val="en-GB"/>
        </w:rPr>
        <w:t xml:space="preserve"> According to specific legislation (Lei n.º 7/2009, 12/02)</w:t>
      </w:r>
    </w:p>
  </w:footnote>
  <w:footnote w:id="80">
    <w:p w14:paraId="07EA306D" w14:textId="77777777" w:rsidR="00F41B98" w:rsidRPr="00F32E15" w:rsidRDefault="00F41B98" w:rsidP="00F41B98">
      <w:pPr>
        <w:pStyle w:val="FootnoteText"/>
        <w:spacing w:after="0"/>
        <w:ind w:left="0" w:firstLine="0"/>
        <w:jc w:val="left"/>
        <w:rPr>
          <w:rFonts w:ascii="Verdana" w:hAnsi="Verdana"/>
          <w:sz w:val="16"/>
          <w:szCs w:val="16"/>
          <w:lang w:val="en-GB"/>
        </w:rPr>
      </w:pPr>
      <w:r w:rsidRPr="00503DFE">
        <w:rPr>
          <w:rStyle w:val="FootnoteReference"/>
          <w:rFonts w:ascii="Verdana" w:hAnsi="Verdana"/>
          <w:sz w:val="16"/>
          <w:szCs w:val="16"/>
        </w:rPr>
        <w:footnoteRef/>
      </w:r>
      <w:r w:rsidRPr="00F32E15">
        <w:rPr>
          <w:rFonts w:ascii="Verdana" w:hAnsi="Verdana"/>
          <w:sz w:val="16"/>
          <w:szCs w:val="16"/>
          <w:lang w:val="en-GB"/>
        </w:rPr>
        <w:t xml:space="preserve"> Portaria n.º 782/2009, 23/07</w:t>
      </w:r>
    </w:p>
  </w:footnote>
  <w:footnote w:id="81">
    <w:p w14:paraId="3E507E3E" w14:textId="77777777" w:rsidR="00F41B98" w:rsidRPr="00F32E15" w:rsidRDefault="00F41B98" w:rsidP="00F41B98">
      <w:pPr>
        <w:pStyle w:val="FootnoteText"/>
        <w:spacing w:after="0"/>
        <w:ind w:left="0" w:firstLine="0"/>
        <w:jc w:val="left"/>
        <w:rPr>
          <w:rFonts w:ascii="Verdana" w:hAnsi="Verdana"/>
          <w:sz w:val="16"/>
          <w:szCs w:val="16"/>
          <w:lang w:val="en-GB"/>
        </w:rPr>
      </w:pPr>
      <w:r w:rsidRPr="00503DFE">
        <w:rPr>
          <w:rStyle w:val="FootnoteReference"/>
          <w:rFonts w:ascii="Verdana" w:hAnsi="Verdana"/>
          <w:sz w:val="16"/>
          <w:szCs w:val="16"/>
        </w:rPr>
        <w:footnoteRef/>
      </w:r>
      <w:r w:rsidRPr="00F32E15">
        <w:rPr>
          <w:rFonts w:ascii="Verdana" w:hAnsi="Verdana"/>
          <w:sz w:val="16"/>
          <w:szCs w:val="16"/>
          <w:lang w:val="en-GB"/>
        </w:rPr>
        <w:t xml:space="preserve"> See Portaria n</w:t>
      </w:r>
      <w:proofErr w:type="gramStart"/>
      <w:r w:rsidRPr="00F32E15">
        <w:rPr>
          <w:rFonts w:ascii="Verdana" w:hAnsi="Verdana"/>
          <w:sz w:val="16"/>
          <w:szCs w:val="16"/>
          <w:lang w:val="en-GB"/>
        </w:rPr>
        <w:t>.º</w:t>
      </w:r>
      <w:proofErr w:type="gramEnd"/>
      <w:r w:rsidRPr="00F32E15">
        <w:rPr>
          <w:rFonts w:ascii="Verdana" w:hAnsi="Verdana"/>
          <w:sz w:val="16"/>
          <w:szCs w:val="16"/>
          <w:lang w:val="en-GB"/>
        </w:rPr>
        <w:t xml:space="preserve"> 232/2016, 29/08. According to this legal document, in 2013/2014, around 39,000 adult learners were enrolled in recognition of prior learning and adult education and training courses leading to a basic education certification, approx. one third of those enrolled in 2000/2001; in 2013/2014 around 50,000 adult learners were enrolled in secondary education forms of provision, while in 2008/2009 there were approx. 169,000 adult learners</w:t>
      </w:r>
    </w:p>
  </w:footnote>
  <w:footnote w:id="82">
    <w:p w14:paraId="3107F6A7" w14:textId="77777777" w:rsidR="00F41B98" w:rsidRPr="00F32E15" w:rsidRDefault="00F41B98" w:rsidP="00F41B98">
      <w:pPr>
        <w:pStyle w:val="FootnoteText"/>
        <w:spacing w:after="0"/>
        <w:ind w:left="0" w:firstLine="0"/>
        <w:jc w:val="left"/>
        <w:rPr>
          <w:lang w:val="en-GB"/>
        </w:rPr>
      </w:pPr>
      <w:r w:rsidRPr="00503DFE">
        <w:rPr>
          <w:rStyle w:val="FootnoteReference"/>
          <w:rFonts w:ascii="Verdana" w:hAnsi="Verdana"/>
          <w:sz w:val="16"/>
          <w:szCs w:val="16"/>
        </w:rPr>
        <w:footnoteRef/>
      </w:r>
      <w:r w:rsidRPr="00F32E15">
        <w:rPr>
          <w:rFonts w:ascii="Verdana" w:hAnsi="Verdana"/>
          <w:sz w:val="16"/>
          <w:szCs w:val="16"/>
          <w:lang w:val="en-GB"/>
        </w:rPr>
        <w:t xml:space="preserve"> Portaria n.º 232/2016, 29/08</w:t>
      </w:r>
    </w:p>
  </w:footnote>
  <w:footnote w:id="83">
    <w:p w14:paraId="7653DF65" w14:textId="77777777" w:rsidR="00F41B98" w:rsidRPr="00503DFE" w:rsidRDefault="00F41B98" w:rsidP="00F41B98">
      <w:pPr>
        <w:pStyle w:val="FootnoteText"/>
        <w:spacing w:after="0"/>
        <w:ind w:left="0" w:firstLine="0"/>
        <w:jc w:val="left"/>
        <w:rPr>
          <w:rFonts w:ascii="Verdana" w:hAnsi="Verdana" w:cs="Arial"/>
          <w:sz w:val="16"/>
          <w:szCs w:val="16"/>
          <w:lang w:val="pt-BR"/>
        </w:rPr>
      </w:pPr>
      <w:r w:rsidRPr="00503DFE">
        <w:rPr>
          <w:rStyle w:val="FootnoteReference"/>
          <w:rFonts w:ascii="Verdana" w:hAnsi="Verdana" w:cs="Arial"/>
          <w:sz w:val="16"/>
          <w:szCs w:val="16"/>
        </w:rPr>
        <w:footnoteRef/>
      </w:r>
      <w:r w:rsidRPr="00503DFE">
        <w:rPr>
          <w:rFonts w:ascii="Verdana" w:hAnsi="Verdana" w:cs="Arial"/>
          <w:sz w:val="16"/>
          <w:szCs w:val="16"/>
          <w:lang w:val="it-IT"/>
        </w:rPr>
        <w:t xml:space="preserve"> See Portaria </w:t>
      </w:r>
      <w:proofErr w:type="gramStart"/>
      <w:r w:rsidRPr="00503DFE">
        <w:rPr>
          <w:rFonts w:ascii="Verdana" w:hAnsi="Verdana" w:cs="Arial"/>
          <w:sz w:val="16"/>
          <w:szCs w:val="16"/>
          <w:lang w:val="it-IT"/>
        </w:rPr>
        <w:t>n.º</w:t>
      </w:r>
      <w:proofErr w:type="gramEnd"/>
      <w:r w:rsidRPr="00503DFE">
        <w:rPr>
          <w:rFonts w:ascii="Verdana" w:hAnsi="Verdana" w:cs="Arial"/>
          <w:sz w:val="16"/>
          <w:szCs w:val="16"/>
          <w:lang w:val="it-IT"/>
        </w:rPr>
        <w:t xml:space="preserve"> 232/2016, 29/08. </w:t>
      </w:r>
      <w:r w:rsidRPr="00F32E15">
        <w:rPr>
          <w:rFonts w:ascii="Verdana" w:hAnsi="Verdana" w:cs="Arial"/>
          <w:sz w:val="16"/>
          <w:szCs w:val="16"/>
          <w:lang w:val="en-GB"/>
        </w:rPr>
        <w:t xml:space="preserve">According to this legal document, in 2013/2014, around 39,000 adult learners were enrolled in recognition of prior learning and adult education and training courses leading to a basic education certification, approx. one third of those enrolled in 2000/2001; in 2013/2014 around 50,000 adult learners were enrolled in secondary education forms of provision, while in 2008/2009 there were approx. </w:t>
      </w:r>
      <w:r w:rsidRPr="00503DFE">
        <w:rPr>
          <w:rFonts w:ascii="Verdana" w:hAnsi="Verdana" w:cs="Arial"/>
          <w:sz w:val="16"/>
          <w:szCs w:val="16"/>
          <w:lang w:val="it-IT"/>
        </w:rPr>
        <w:t>169,000 adult learners.</w:t>
      </w:r>
    </w:p>
  </w:footnote>
  <w:footnote w:id="84">
    <w:p w14:paraId="0AAE0DC5" w14:textId="77777777" w:rsidR="00F41B98" w:rsidRPr="00503DFE" w:rsidRDefault="00F41B98" w:rsidP="00F41B98">
      <w:pPr>
        <w:pStyle w:val="FootnoteText"/>
        <w:spacing w:after="0"/>
        <w:ind w:left="0" w:firstLine="0"/>
        <w:jc w:val="left"/>
        <w:rPr>
          <w:rFonts w:ascii="Verdana" w:hAnsi="Verdana" w:cs="Arial"/>
          <w:sz w:val="16"/>
          <w:szCs w:val="16"/>
          <w:lang w:val="pt-BR"/>
        </w:rPr>
      </w:pPr>
      <w:r w:rsidRPr="00503DFE">
        <w:rPr>
          <w:rStyle w:val="FootnoteReference"/>
          <w:rFonts w:ascii="Verdana" w:hAnsi="Verdana" w:cs="Arial"/>
          <w:sz w:val="16"/>
          <w:szCs w:val="16"/>
        </w:rPr>
        <w:footnoteRef/>
      </w:r>
      <w:r w:rsidRPr="00503DFE">
        <w:rPr>
          <w:rFonts w:ascii="Verdana" w:hAnsi="Verdana" w:cs="Arial"/>
          <w:sz w:val="16"/>
          <w:szCs w:val="16"/>
          <w:lang w:val="it-IT"/>
        </w:rPr>
        <w:t xml:space="preserve"> Portaria </w:t>
      </w:r>
      <w:proofErr w:type="gramStart"/>
      <w:r w:rsidRPr="00503DFE">
        <w:rPr>
          <w:rFonts w:ascii="Verdana" w:hAnsi="Verdana" w:cs="Arial"/>
          <w:sz w:val="16"/>
          <w:szCs w:val="16"/>
          <w:lang w:val="it-IT"/>
        </w:rPr>
        <w:t>n.º</w:t>
      </w:r>
      <w:proofErr w:type="gramEnd"/>
      <w:r w:rsidRPr="00503DFE">
        <w:rPr>
          <w:rFonts w:ascii="Verdana" w:hAnsi="Verdana" w:cs="Arial"/>
          <w:sz w:val="16"/>
          <w:szCs w:val="16"/>
          <w:lang w:val="it-IT"/>
        </w:rPr>
        <w:t xml:space="preserve"> 232/2016, 29/08.</w:t>
      </w:r>
    </w:p>
  </w:footnote>
  <w:footnote w:id="85">
    <w:p w14:paraId="5252FD95" w14:textId="77777777" w:rsidR="00F41B98" w:rsidRPr="0092007F" w:rsidRDefault="00F41B98" w:rsidP="00F41B98">
      <w:pPr>
        <w:pStyle w:val="FootnoteText"/>
        <w:spacing w:after="0"/>
        <w:ind w:left="0" w:firstLine="0"/>
        <w:jc w:val="left"/>
        <w:rPr>
          <w:rFonts w:cs="Arial"/>
          <w:sz w:val="16"/>
          <w:szCs w:val="16"/>
          <w:lang w:val="it-IT"/>
        </w:rPr>
      </w:pPr>
      <w:r w:rsidRPr="00503DFE">
        <w:rPr>
          <w:rStyle w:val="FootnoteReference"/>
          <w:rFonts w:ascii="Verdana" w:hAnsi="Verdana" w:cs="Arial"/>
          <w:sz w:val="16"/>
          <w:szCs w:val="16"/>
        </w:rPr>
        <w:footnoteRef/>
      </w:r>
      <w:r w:rsidRPr="00503DFE">
        <w:rPr>
          <w:rFonts w:ascii="Verdana" w:hAnsi="Verdana" w:cs="Arial"/>
          <w:sz w:val="16"/>
          <w:szCs w:val="16"/>
          <w:lang w:val="it-IT"/>
        </w:rPr>
        <w:t xml:space="preserve"> Portaria </w:t>
      </w:r>
      <w:proofErr w:type="gramStart"/>
      <w:r w:rsidRPr="00503DFE">
        <w:rPr>
          <w:rFonts w:ascii="Verdana" w:hAnsi="Verdana" w:cs="Arial"/>
          <w:sz w:val="16"/>
          <w:szCs w:val="16"/>
          <w:lang w:val="it-IT"/>
        </w:rPr>
        <w:t>n.º</w:t>
      </w:r>
      <w:proofErr w:type="gramEnd"/>
      <w:r w:rsidRPr="00503DFE">
        <w:rPr>
          <w:rFonts w:ascii="Verdana" w:hAnsi="Verdana" w:cs="Arial"/>
          <w:sz w:val="16"/>
          <w:szCs w:val="16"/>
          <w:lang w:val="it-IT"/>
        </w:rPr>
        <w:t xml:space="preserve"> 232/2016, 29/08.</w:t>
      </w:r>
    </w:p>
  </w:footnote>
  <w:footnote w:id="86">
    <w:p w14:paraId="751D8890" w14:textId="77777777" w:rsidR="00F41B98" w:rsidRPr="00503DFE" w:rsidRDefault="00F41B98" w:rsidP="00F41B98">
      <w:pPr>
        <w:pStyle w:val="FootnoteText"/>
        <w:spacing w:after="0"/>
        <w:ind w:left="0" w:firstLine="0"/>
        <w:jc w:val="left"/>
        <w:rPr>
          <w:rFonts w:ascii="Verdana" w:hAnsi="Verdana" w:cs="Arial"/>
          <w:sz w:val="16"/>
          <w:szCs w:val="16"/>
          <w:lang w:val="en-US"/>
        </w:rPr>
      </w:pPr>
      <w:r w:rsidRPr="00503DFE">
        <w:rPr>
          <w:rStyle w:val="FootnoteReference"/>
          <w:rFonts w:ascii="Verdana" w:hAnsi="Verdana" w:cs="Arial"/>
          <w:sz w:val="16"/>
          <w:szCs w:val="16"/>
        </w:rPr>
        <w:footnoteRef/>
      </w:r>
      <w:r w:rsidRPr="00F32E15">
        <w:rPr>
          <w:rFonts w:ascii="Verdana" w:hAnsi="Verdana" w:cs="Arial"/>
          <w:sz w:val="16"/>
          <w:szCs w:val="16"/>
          <w:lang w:val="en-GB"/>
        </w:rPr>
        <w:t xml:space="preserve"> Data accessed on 20/09/2017 in https://www.portugal2020.pt/Portal2020/Media/Default/Docs/Programas%20Operacionais/VERSOES%20CONSULTA/POCI_vs_pública.pdf</w:t>
      </w:r>
    </w:p>
  </w:footnote>
  <w:footnote w:id="87">
    <w:p w14:paraId="090D0416" w14:textId="77777777" w:rsidR="00F41B98" w:rsidRPr="00503DFE" w:rsidRDefault="00F41B98" w:rsidP="00F41B98">
      <w:pPr>
        <w:pStyle w:val="FootnoteText"/>
        <w:spacing w:after="0"/>
        <w:ind w:left="0" w:firstLine="0"/>
        <w:jc w:val="left"/>
        <w:rPr>
          <w:rFonts w:ascii="Verdana" w:hAnsi="Verdana" w:cs="Arial"/>
          <w:sz w:val="16"/>
          <w:szCs w:val="16"/>
          <w:lang w:val="en-US"/>
        </w:rPr>
      </w:pPr>
      <w:r w:rsidRPr="00503DFE">
        <w:rPr>
          <w:rStyle w:val="FootnoteReference"/>
          <w:rFonts w:ascii="Verdana" w:hAnsi="Verdana" w:cs="Arial"/>
          <w:sz w:val="16"/>
          <w:szCs w:val="16"/>
        </w:rPr>
        <w:footnoteRef/>
      </w:r>
      <w:r w:rsidRPr="00F32E15">
        <w:rPr>
          <w:rFonts w:ascii="Verdana" w:hAnsi="Verdana" w:cs="Arial"/>
          <w:sz w:val="16"/>
          <w:szCs w:val="16"/>
          <w:lang w:val="en-GB"/>
        </w:rPr>
        <w:t xml:space="preserve"> Data accessed on 20/09/2017 in https://www.pordata.pt/DB/Europa/Ambiente+de+Consulta/Tabela</w:t>
      </w:r>
    </w:p>
  </w:footnote>
  <w:footnote w:id="88">
    <w:p w14:paraId="53627890" w14:textId="77777777" w:rsidR="00F41B98" w:rsidRPr="00503DFE" w:rsidRDefault="00F41B98" w:rsidP="00F41B98">
      <w:pPr>
        <w:pStyle w:val="FootnoteText"/>
        <w:spacing w:after="0"/>
        <w:ind w:left="0" w:firstLine="0"/>
        <w:jc w:val="left"/>
        <w:rPr>
          <w:rFonts w:ascii="Verdana" w:hAnsi="Verdana" w:cs="Arial"/>
          <w:sz w:val="16"/>
          <w:szCs w:val="16"/>
          <w:lang w:val="en-US"/>
        </w:rPr>
      </w:pPr>
      <w:r w:rsidRPr="00503DFE">
        <w:rPr>
          <w:rStyle w:val="FootnoteReference"/>
          <w:rFonts w:ascii="Verdana" w:hAnsi="Verdana" w:cs="Arial"/>
          <w:sz w:val="16"/>
          <w:szCs w:val="16"/>
        </w:rPr>
        <w:footnoteRef/>
      </w:r>
      <w:r w:rsidRPr="00F32E15">
        <w:rPr>
          <w:rFonts w:ascii="Verdana" w:hAnsi="Verdana" w:cs="Arial"/>
          <w:sz w:val="16"/>
          <w:szCs w:val="16"/>
          <w:lang w:val="en-GB"/>
        </w:rPr>
        <w:t xml:space="preserve"> Data accesses on 20/09/2017 in https://ec.europa.eu/education/sites/education/files/monitor2016-pt_pt.pdf</w:t>
      </w:r>
    </w:p>
  </w:footnote>
  <w:footnote w:id="89">
    <w:p w14:paraId="03B80B7A" w14:textId="77777777" w:rsidR="00F41B98" w:rsidRPr="00503DFE" w:rsidRDefault="00F41B98" w:rsidP="00F41B98">
      <w:pPr>
        <w:pStyle w:val="FootnoteText"/>
        <w:spacing w:after="0"/>
        <w:ind w:left="0" w:firstLine="0"/>
        <w:jc w:val="left"/>
        <w:rPr>
          <w:rFonts w:ascii="Verdana" w:hAnsi="Verdana" w:cs="Arial"/>
          <w:sz w:val="16"/>
          <w:szCs w:val="16"/>
          <w:lang w:val="en-US"/>
        </w:rPr>
      </w:pPr>
      <w:r w:rsidRPr="00503DFE">
        <w:rPr>
          <w:rStyle w:val="FootnoteReference"/>
          <w:rFonts w:ascii="Verdana" w:hAnsi="Verdana" w:cs="Arial"/>
          <w:sz w:val="16"/>
          <w:szCs w:val="16"/>
        </w:rPr>
        <w:footnoteRef/>
      </w:r>
      <w:r w:rsidRPr="00F32E15">
        <w:rPr>
          <w:rFonts w:ascii="Verdana" w:hAnsi="Verdana" w:cs="Arial"/>
          <w:sz w:val="16"/>
          <w:szCs w:val="16"/>
          <w:lang w:val="en-GB"/>
        </w:rPr>
        <w:t xml:space="preserve"> Data accessed on 20/09/2017 in https://ec.europa.eu/education/sites/education/files/monitor2016-pt_pt.pdf</w:t>
      </w:r>
    </w:p>
  </w:footnote>
  <w:footnote w:id="90">
    <w:p w14:paraId="469CEEA8" w14:textId="77777777" w:rsidR="00F41B98" w:rsidRPr="0092007F" w:rsidRDefault="00F41B98" w:rsidP="00F41B98">
      <w:pPr>
        <w:pStyle w:val="FootnoteText"/>
        <w:spacing w:after="0"/>
        <w:ind w:left="0" w:firstLine="0"/>
        <w:jc w:val="left"/>
        <w:rPr>
          <w:rFonts w:cs="Arial"/>
          <w:sz w:val="16"/>
          <w:szCs w:val="16"/>
          <w:lang w:val="pt-BR"/>
        </w:rPr>
      </w:pPr>
      <w:r w:rsidRPr="00503DFE">
        <w:rPr>
          <w:rStyle w:val="FootnoteReference"/>
          <w:rFonts w:ascii="Verdana" w:hAnsi="Verdana" w:cs="Arial"/>
          <w:sz w:val="16"/>
          <w:szCs w:val="16"/>
        </w:rPr>
        <w:footnoteRef/>
      </w:r>
      <w:r w:rsidRPr="00503DFE">
        <w:rPr>
          <w:rFonts w:ascii="Verdana" w:hAnsi="Verdana" w:cs="Arial"/>
          <w:sz w:val="16"/>
          <w:szCs w:val="16"/>
          <w:lang w:val="pt-PT"/>
        </w:rPr>
        <w:t xml:space="preserve"> Portaria n.º 232/2016, 29.08 and Despacho n.º 1971/2017, 8/03.</w:t>
      </w:r>
    </w:p>
  </w:footnote>
  <w:footnote w:id="91">
    <w:p w14:paraId="3A116D43" w14:textId="77777777" w:rsidR="00F41B98" w:rsidRPr="00503DFE" w:rsidRDefault="00F41B98" w:rsidP="00F41B98">
      <w:pPr>
        <w:pStyle w:val="FootnoteText"/>
        <w:spacing w:after="0"/>
        <w:ind w:left="0" w:firstLine="0"/>
        <w:jc w:val="left"/>
        <w:rPr>
          <w:rFonts w:ascii="Verdana" w:hAnsi="Verdana" w:cs="Arial"/>
          <w:sz w:val="16"/>
          <w:szCs w:val="16"/>
          <w:lang w:val="en-US"/>
        </w:rPr>
      </w:pPr>
      <w:r w:rsidRPr="00503DFE">
        <w:rPr>
          <w:rStyle w:val="FootnoteReference"/>
          <w:rFonts w:ascii="Verdana" w:hAnsi="Verdana" w:cs="Arial"/>
          <w:sz w:val="16"/>
          <w:szCs w:val="16"/>
        </w:rPr>
        <w:footnoteRef/>
      </w:r>
      <w:r w:rsidRPr="00503DFE">
        <w:rPr>
          <w:rFonts w:ascii="Verdana" w:hAnsi="Verdana" w:cs="Arial"/>
          <w:sz w:val="16"/>
          <w:szCs w:val="16"/>
          <w:lang w:val="it-IT"/>
        </w:rPr>
        <w:t xml:space="preserve"> Decreto-lei </w:t>
      </w:r>
      <w:proofErr w:type="gramStart"/>
      <w:r w:rsidRPr="00503DFE">
        <w:rPr>
          <w:rFonts w:ascii="Verdana" w:hAnsi="Verdana" w:cs="Arial"/>
          <w:sz w:val="16"/>
          <w:szCs w:val="16"/>
          <w:lang w:val="it-IT"/>
        </w:rPr>
        <w:t>n.º</w:t>
      </w:r>
      <w:proofErr w:type="gramEnd"/>
      <w:r w:rsidRPr="00503DFE">
        <w:rPr>
          <w:rFonts w:ascii="Verdana" w:hAnsi="Verdana" w:cs="Arial"/>
          <w:sz w:val="16"/>
          <w:szCs w:val="16"/>
          <w:lang w:val="it-IT"/>
        </w:rPr>
        <w:t xml:space="preserve"> 85/2009, 27/08.</w:t>
      </w:r>
    </w:p>
  </w:footnote>
  <w:footnote w:id="92">
    <w:p w14:paraId="4999735D" w14:textId="77777777" w:rsidR="00F41B98" w:rsidRPr="00503DFE" w:rsidRDefault="00F41B98" w:rsidP="00F41B98">
      <w:pPr>
        <w:pStyle w:val="FootnoteText"/>
        <w:spacing w:after="0"/>
        <w:ind w:left="0" w:firstLine="0"/>
        <w:jc w:val="left"/>
        <w:rPr>
          <w:rFonts w:ascii="Verdana" w:hAnsi="Verdana" w:cs="Arial"/>
          <w:sz w:val="16"/>
          <w:szCs w:val="16"/>
          <w:lang w:val="es-ES"/>
        </w:rPr>
      </w:pPr>
      <w:r w:rsidRPr="00503DFE">
        <w:rPr>
          <w:rStyle w:val="FootnoteReference"/>
          <w:rFonts w:ascii="Verdana" w:hAnsi="Verdana" w:cs="Arial"/>
          <w:sz w:val="16"/>
          <w:szCs w:val="16"/>
        </w:rPr>
        <w:footnoteRef/>
      </w:r>
      <w:r w:rsidRPr="00F32E15">
        <w:rPr>
          <w:rFonts w:ascii="Verdana" w:hAnsi="Verdana" w:cs="Arial"/>
          <w:sz w:val="16"/>
          <w:szCs w:val="16"/>
          <w:lang w:val="en-GB"/>
        </w:rPr>
        <w:t xml:space="preserve"> </w:t>
      </w:r>
      <w:r w:rsidRPr="00503DFE">
        <w:rPr>
          <w:rFonts w:ascii="Verdana" w:hAnsi="Verdana" w:cs="Arial"/>
          <w:sz w:val="16"/>
          <w:szCs w:val="16"/>
          <w:lang w:val="en-US"/>
        </w:rPr>
        <w:t>European Commission, Cedefop and ICF International (2014). </w:t>
      </w:r>
      <w:r w:rsidRPr="00503DFE">
        <w:rPr>
          <w:rFonts w:ascii="Verdana" w:hAnsi="Verdana" w:cs="Arial"/>
          <w:i/>
          <w:sz w:val="16"/>
          <w:szCs w:val="16"/>
          <w:lang w:val="en-US"/>
        </w:rPr>
        <w:t xml:space="preserve">European Inventory of Validation of Non-Formal and Informal Learning 2014. </w:t>
      </w:r>
      <w:r w:rsidRPr="00503DFE">
        <w:rPr>
          <w:rFonts w:ascii="Verdana" w:hAnsi="Verdana" w:cs="Arial"/>
          <w:i/>
          <w:sz w:val="16"/>
          <w:szCs w:val="16"/>
          <w:lang w:val="es-ES"/>
        </w:rPr>
        <w:t>Portugal.  </w:t>
      </w:r>
      <w:r w:rsidRPr="00503DFE">
        <w:rPr>
          <w:rFonts w:ascii="Verdana" w:hAnsi="Verdana" w:cs="Arial"/>
          <w:sz w:val="16"/>
          <w:szCs w:val="16"/>
          <w:lang w:val="es-ES"/>
        </w:rPr>
        <w:t>Retrieved 19/04/2017, from</w:t>
      </w:r>
      <w:r w:rsidRPr="00503DFE">
        <w:rPr>
          <w:rFonts w:ascii="Verdana" w:hAnsi="Verdana" w:cs="Arial"/>
          <w:i/>
          <w:sz w:val="16"/>
          <w:szCs w:val="16"/>
          <w:lang w:val="es-ES"/>
        </w:rPr>
        <w:t xml:space="preserve"> </w:t>
      </w:r>
      <w:r w:rsidRPr="00503DFE">
        <w:rPr>
          <w:rFonts w:ascii="Verdana" w:hAnsi="Verdana" w:cs="Arial"/>
          <w:sz w:val="16"/>
          <w:szCs w:val="16"/>
          <w:lang w:val="es-ES"/>
        </w:rPr>
        <w:t>www.cedefop.europa.eu/validation/inventory.</w:t>
      </w:r>
    </w:p>
  </w:footnote>
  <w:footnote w:id="93">
    <w:p w14:paraId="1EEB9054" w14:textId="77777777" w:rsidR="00F41B98" w:rsidRPr="009B2631" w:rsidRDefault="00F41B98" w:rsidP="00F41B98">
      <w:pPr>
        <w:pStyle w:val="FootnoteText"/>
        <w:spacing w:after="0"/>
        <w:ind w:left="0" w:firstLine="0"/>
        <w:jc w:val="left"/>
        <w:rPr>
          <w:rFonts w:cs="Arial"/>
          <w:sz w:val="16"/>
          <w:szCs w:val="16"/>
          <w:lang w:val="pt-PT"/>
        </w:rPr>
      </w:pPr>
      <w:r w:rsidRPr="00503DFE">
        <w:rPr>
          <w:rStyle w:val="FootnoteReference"/>
          <w:rFonts w:ascii="Verdana" w:hAnsi="Verdana" w:cs="Arial"/>
          <w:sz w:val="16"/>
          <w:szCs w:val="16"/>
        </w:rPr>
        <w:footnoteRef/>
      </w:r>
      <w:r w:rsidRPr="00503DFE">
        <w:rPr>
          <w:rFonts w:ascii="Verdana" w:hAnsi="Verdana" w:cs="Arial"/>
          <w:sz w:val="16"/>
          <w:szCs w:val="16"/>
          <w:lang w:val="pt-PT"/>
        </w:rPr>
        <w:t xml:space="preserve"> In Portuguese </w:t>
      </w:r>
      <w:r w:rsidRPr="00503DFE">
        <w:rPr>
          <w:rFonts w:ascii="Verdana" w:hAnsi="Verdana" w:cs="Arial"/>
          <w:i/>
          <w:sz w:val="16"/>
          <w:szCs w:val="16"/>
          <w:lang w:val="pt-PT"/>
        </w:rPr>
        <w:t>Agência de Avaliação e Acreditação do Ensino Superior</w:t>
      </w:r>
      <w:r w:rsidRPr="00503DFE">
        <w:rPr>
          <w:rFonts w:ascii="Verdana" w:hAnsi="Verdana" w:cs="Arial"/>
          <w:sz w:val="16"/>
          <w:szCs w:val="16"/>
          <w:lang w:val="pt-PT"/>
        </w:rPr>
        <w:t>.</w:t>
      </w:r>
    </w:p>
  </w:footnote>
  <w:footnote w:id="94">
    <w:p w14:paraId="4E0C9C50" w14:textId="77777777" w:rsidR="00F41B98" w:rsidRPr="00F32E15" w:rsidRDefault="00F41B98" w:rsidP="00F41B98">
      <w:pPr>
        <w:pStyle w:val="FootnoteText"/>
        <w:spacing w:after="0"/>
        <w:ind w:left="0" w:firstLine="0"/>
        <w:jc w:val="left"/>
        <w:rPr>
          <w:rFonts w:ascii="Verdana" w:hAnsi="Verdana"/>
          <w:sz w:val="16"/>
          <w:szCs w:val="16"/>
          <w:lang w:val="en-GB"/>
        </w:rPr>
      </w:pPr>
      <w:r w:rsidRPr="00D3450C">
        <w:rPr>
          <w:rStyle w:val="FootnoteReference"/>
          <w:rFonts w:ascii="Verdana" w:hAnsi="Verdana"/>
          <w:sz w:val="16"/>
          <w:szCs w:val="16"/>
        </w:rPr>
        <w:footnoteRef/>
      </w:r>
      <w:r w:rsidRPr="00F32E15">
        <w:rPr>
          <w:rFonts w:ascii="Verdana" w:hAnsi="Verdana"/>
          <w:sz w:val="16"/>
          <w:szCs w:val="16"/>
          <w:lang w:val="en-GB"/>
        </w:rPr>
        <w:t xml:space="preserve"> European Commission, Cedefop and ICF International (2014). European Inventory of Validation of Non-Formal and Informal Learning 2014. Portugal.  Retrieved 19/04/2017, from www.cedefop.europa.eu/validation/inventory.</w:t>
      </w:r>
    </w:p>
  </w:footnote>
  <w:footnote w:id="95">
    <w:p w14:paraId="54D592EF" w14:textId="77777777" w:rsidR="00F41B98" w:rsidRPr="00D3450C" w:rsidRDefault="00F41B98" w:rsidP="00F41B98">
      <w:pPr>
        <w:pStyle w:val="FootnoteText"/>
        <w:spacing w:after="0"/>
        <w:ind w:left="0" w:firstLine="0"/>
        <w:jc w:val="left"/>
        <w:rPr>
          <w:rFonts w:ascii="Verdana" w:hAnsi="Verdana" w:cs="Arial"/>
          <w:sz w:val="16"/>
          <w:szCs w:val="16"/>
          <w:lang w:val="en-US"/>
        </w:rPr>
      </w:pPr>
      <w:r w:rsidRPr="00D3450C">
        <w:rPr>
          <w:rStyle w:val="FootnoteReference"/>
          <w:rFonts w:ascii="Verdana" w:hAnsi="Verdana" w:cs="Arial"/>
          <w:sz w:val="16"/>
          <w:szCs w:val="16"/>
        </w:rPr>
        <w:footnoteRef/>
      </w:r>
      <w:r w:rsidRPr="00F32E15">
        <w:rPr>
          <w:rFonts w:ascii="Verdana" w:hAnsi="Verdana" w:cs="Arial"/>
          <w:sz w:val="16"/>
          <w:szCs w:val="16"/>
          <w:lang w:val="en-GB"/>
        </w:rPr>
        <w:t xml:space="preserve"> </w:t>
      </w:r>
      <w:r w:rsidRPr="00D3450C">
        <w:rPr>
          <w:rFonts w:ascii="Verdana" w:hAnsi="Verdana" w:cs="Arial"/>
          <w:sz w:val="16"/>
          <w:szCs w:val="16"/>
          <w:lang w:val="en-US"/>
        </w:rPr>
        <w:t>European Commission, Cedefop and ICF International (2014). </w:t>
      </w:r>
      <w:r w:rsidRPr="00D3450C">
        <w:rPr>
          <w:rFonts w:ascii="Verdana" w:hAnsi="Verdana" w:cs="Arial"/>
          <w:i/>
          <w:iCs/>
          <w:sz w:val="16"/>
          <w:szCs w:val="16"/>
          <w:lang w:val="en-US"/>
        </w:rPr>
        <w:t>European Inventory of Validation of Non-Formal and Informal Learning 2014. Portugal.  </w:t>
      </w:r>
      <w:r w:rsidRPr="00D3450C">
        <w:rPr>
          <w:rFonts w:ascii="Verdana" w:hAnsi="Verdana" w:cs="Arial"/>
          <w:iCs/>
          <w:sz w:val="16"/>
          <w:szCs w:val="16"/>
          <w:lang w:val="en-US"/>
        </w:rPr>
        <w:t>Retrieved 19/04/2017, from</w:t>
      </w:r>
      <w:r w:rsidRPr="00D3450C">
        <w:rPr>
          <w:rFonts w:ascii="Verdana" w:hAnsi="Verdana" w:cs="Arial"/>
          <w:i/>
          <w:iCs/>
          <w:sz w:val="16"/>
          <w:szCs w:val="16"/>
          <w:lang w:val="en-US"/>
        </w:rPr>
        <w:t xml:space="preserve"> </w:t>
      </w:r>
      <w:r w:rsidRPr="00D3450C">
        <w:rPr>
          <w:rFonts w:ascii="Verdana" w:hAnsi="Verdana" w:cs="Arial"/>
          <w:sz w:val="16"/>
          <w:szCs w:val="16"/>
          <w:lang w:val="en-US"/>
        </w:rPr>
        <w:t>www.cedefop.europa.eu/validation/inventory.</w:t>
      </w:r>
    </w:p>
  </w:footnote>
  <w:footnote w:id="96">
    <w:p w14:paraId="08E264DD" w14:textId="77777777" w:rsidR="00F41B98" w:rsidRPr="00F32E15" w:rsidRDefault="00F41B98" w:rsidP="00F41B98">
      <w:pPr>
        <w:pStyle w:val="FootnoteText"/>
        <w:spacing w:after="0"/>
        <w:ind w:left="0" w:firstLine="0"/>
        <w:jc w:val="left"/>
        <w:rPr>
          <w:rFonts w:ascii="Verdana" w:hAnsi="Verdana" w:cs="Arial"/>
          <w:sz w:val="16"/>
          <w:szCs w:val="16"/>
          <w:lang w:val="en-GB"/>
        </w:rPr>
      </w:pPr>
      <w:r w:rsidRPr="00D3450C">
        <w:rPr>
          <w:rStyle w:val="FootnoteReference"/>
          <w:rFonts w:ascii="Verdana" w:hAnsi="Verdana" w:cs="Arial"/>
          <w:sz w:val="16"/>
          <w:szCs w:val="16"/>
        </w:rPr>
        <w:footnoteRef/>
      </w:r>
      <w:r w:rsidRPr="00F32E15">
        <w:rPr>
          <w:rFonts w:ascii="Verdana" w:hAnsi="Verdana" w:cs="Arial"/>
          <w:sz w:val="16"/>
          <w:szCs w:val="16"/>
          <w:lang w:val="en-GB"/>
        </w:rPr>
        <w:t xml:space="preserve">For more details, see </w:t>
      </w:r>
    </w:p>
    <w:p w14:paraId="704430D9" w14:textId="77777777" w:rsidR="00F41B98" w:rsidRPr="00F32E15" w:rsidRDefault="00F32E15" w:rsidP="00F41B98">
      <w:pPr>
        <w:pStyle w:val="FootnoteText"/>
        <w:spacing w:after="0"/>
        <w:ind w:left="0" w:firstLine="0"/>
        <w:jc w:val="left"/>
        <w:rPr>
          <w:rFonts w:ascii="Verdana" w:hAnsi="Verdana" w:cs="Arial"/>
          <w:sz w:val="16"/>
          <w:szCs w:val="16"/>
          <w:lang w:val="en-GB"/>
        </w:rPr>
      </w:pPr>
      <w:hyperlink r:id="rId18" w:history="1">
        <w:r w:rsidR="00F41B98" w:rsidRPr="00F32E15">
          <w:rPr>
            <w:rStyle w:val="Hyperlink"/>
            <w:rFonts w:ascii="Verdana" w:hAnsi="Verdana" w:cs="Arial"/>
            <w:sz w:val="16"/>
            <w:szCs w:val="16"/>
            <w:lang w:val="en-GB"/>
          </w:rPr>
          <w:t>https://livestream.com/accounts/2649338/events/7714352/player?width=960&amp;height=540&amp;enableInfoAndActivity=true&amp;defaultDrawer=feed&amp;autoPlay=true&amp;mute=false</w:t>
        </w:r>
      </w:hyperlink>
      <w:r w:rsidR="00F41B98" w:rsidRPr="00F32E15">
        <w:rPr>
          <w:rFonts w:ascii="Verdana" w:hAnsi="Verdana" w:cs="Arial"/>
          <w:sz w:val="16"/>
          <w:szCs w:val="16"/>
          <w:lang w:val="en-GB"/>
        </w:rPr>
        <w:t xml:space="preserve">, https://www.qualifica.gov.pt/#/ and </w:t>
      </w:r>
      <w:hyperlink r:id="rId19" w:history="1">
        <w:r w:rsidR="00F41B98" w:rsidRPr="00F32E15">
          <w:rPr>
            <w:rStyle w:val="Hyperlink"/>
            <w:rFonts w:ascii="Verdana" w:hAnsi="Verdana" w:cs="Arial"/>
            <w:sz w:val="16"/>
            <w:szCs w:val="16"/>
            <w:lang w:val="en-GB"/>
          </w:rPr>
          <w:t>https://www.passaportequalifica.gov.pt/cicLogin.xhtml</w:t>
        </w:r>
      </w:hyperlink>
      <w:r w:rsidR="00F41B98" w:rsidRPr="00F32E15">
        <w:rPr>
          <w:rFonts w:ascii="Verdana" w:hAnsi="Verdana" w:cs="Arial"/>
          <w:sz w:val="16"/>
          <w:szCs w:val="16"/>
          <w:lang w:val="en-GB"/>
        </w:rPr>
        <w:t>, accessed on 20/09/2017.</w:t>
      </w:r>
    </w:p>
  </w:footnote>
  <w:footnote w:id="97">
    <w:p w14:paraId="0312E860" w14:textId="77777777" w:rsidR="00F41B98" w:rsidRPr="00F32E15" w:rsidRDefault="00F41B98" w:rsidP="00F41B98">
      <w:pPr>
        <w:widowControl w:val="0"/>
        <w:autoSpaceDE w:val="0"/>
        <w:autoSpaceDN w:val="0"/>
        <w:adjustRightInd w:val="0"/>
        <w:spacing w:after="0"/>
        <w:jc w:val="left"/>
        <w:rPr>
          <w:rFonts w:cs="Arial"/>
          <w:sz w:val="16"/>
          <w:szCs w:val="16"/>
          <w:lang w:val="en-GB"/>
        </w:rPr>
      </w:pPr>
      <w:r w:rsidRPr="00D3450C">
        <w:rPr>
          <w:rStyle w:val="FootnoteReference"/>
          <w:rFonts w:ascii="Verdana" w:hAnsi="Verdana" w:cs="Arial"/>
          <w:sz w:val="16"/>
          <w:szCs w:val="16"/>
        </w:rPr>
        <w:footnoteRef/>
      </w:r>
      <w:r w:rsidRPr="00D3450C">
        <w:rPr>
          <w:rFonts w:ascii="Verdana" w:hAnsi="Verdana" w:cs="Arial"/>
          <w:sz w:val="16"/>
          <w:szCs w:val="16"/>
          <w:lang w:val="pt-PT"/>
        </w:rPr>
        <w:t xml:space="preserve"> See Guimarães, P. (2017). Políticas públicas de educação de adultos e aprendizagem ao longo da vida em Portugal: circunstâncias e desafios. </w:t>
      </w:r>
      <w:r w:rsidRPr="00F32E15">
        <w:rPr>
          <w:rFonts w:ascii="Verdana" w:hAnsi="Verdana" w:cs="Arial"/>
          <w:sz w:val="16"/>
          <w:szCs w:val="16"/>
          <w:lang w:val="en-GB"/>
        </w:rPr>
        <w:t>Speaking at the Educação e Formação para a População Adulta, on 29/05/2017 at the Faculty of Psychology and Education Sciences of the University of Coimbra.</w:t>
      </w:r>
    </w:p>
  </w:footnote>
  <w:footnote w:id="98">
    <w:p w14:paraId="076961F3" w14:textId="77777777" w:rsidR="00F41B98" w:rsidRPr="00F32E15" w:rsidRDefault="00F41B98" w:rsidP="00F41B98">
      <w:pPr>
        <w:pStyle w:val="BodyText"/>
        <w:spacing w:after="0"/>
        <w:jc w:val="left"/>
        <w:rPr>
          <w:rFonts w:cs="Arial"/>
          <w:b/>
          <w:color w:val="000000" w:themeColor="text1"/>
          <w:sz w:val="16"/>
          <w:szCs w:val="16"/>
          <w:lang w:val="en-GB"/>
        </w:rPr>
      </w:pPr>
      <w:r w:rsidRPr="0092007F">
        <w:rPr>
          <w:rStyle w:val="FootnoteReference"/>
          <w:rFonts w:cs="Arial"/>
          <w:sz w:val="16"/>
          <w:szCs w:val="16"/>
        </w:rPr>
        <w:footnoteRef/>
      </w:r>
      <w:r w:rsidRPr="00F32E15">
        <w:rPr>
          <w:rFonts w:cs="Arial"/>
          <w:sz w:val="16"/>
          <w:szCs w:val="16"/>
          <w:lang w:val="en-GB"/>
        </w:rPr>
        <w:t xml:space="preserve"> These challenges have been identified by the author in the </w:t>
      </w:r>
      <w:r w:rsidRPr="0092007F">
        <w:rPr>
          <w:rFonts w:cs="Arial"/>
          <w:sz w:val="16"/>
          <w:szCs w:val="16"/>
          <w:lang w:val="en-US"/>
        </w:rPr>
        <w:t>European Commission, Cedefop and ICF International (2014). </w:t>
      </w:r>
      <w:r w:rsidRPr="0092007F">
        <w:rPr>
          <w:rFonts w:cs="Arial"/>
          <w:i/>
          <w:sz w:val="16"/>
          <w:szCs w:val="16"/>
          <w:lang w:val="en-US"/>
        </w:rPr>
        <w:t>European Inventory of Validation of Non-Formal and Informal Learning 2014. Portugal.  </w:t>
      </w:r>
      <w:r w:rsidRPr="0092007F">
        <w:rPr>
          <w:rFonts w:cs="Arial"/>
          <w:sz w:val="16"/>
          <w:szCs w:val="16"/>
          <w:lang w:val="en-US"/>
        </w:rPr>
        <w:t>Retrieved 19/04/2017, from</w:t>
      </w:r>
      <w:r w:rsidRPr="0092007F">
        <w:rPr>
          <w:rFonts w:cs="Arial"/>
          <w:i/>
          <w:sz w:val="16"/>
          <w:szCs w:val="16"/>
          <w:lang w:val="en-US"/>
        </w:rPr>
        <w:t xml:space="preserve"> </w:t>
      </w:r>
      <w:hyperlink r:id="rId20" w:history="1">
        <w:r w:rsidRPr="0092007F">
          <w:rPr>
            <w:rStyle w:val="Hyperlink"/>
            <w:rFonts w:cs="Arial"/>
            <w:sz w:val="16"/>
            <w:szCs w:val="16"/>
            <w:lang w:val="en-US"/>
          </w:rPr>
          <w:t>www.cedefop.europa.eu/validation/inventory</w:t>
        </w:r>
      </w:hyperlink>
      <w:r w:rsidRPr="0092007F">
        <w:rPr>
          <w:rFonts w:cs="Arial"/>
          <w:sz w:val="16"/>
          <w:szCs w:val="16"/>
          <w:lang w:val="en-US"/>
        </w:rPr>
        <w:t>. These are still relevant in present times.</w:t>
      </w:r>
    </w:p>
  </w:footnote>
  <w:footnote w:id="99">
    <w:p w14:paraId="242F4204" w14:textId="77777777" w:rsidR="00F41B98" w:rsidRPr="00503DFE" w:rsidRDefault="00F41B98" w:rsidP="00F41B98">
      <w:pPr>
        <w:pStyle w:val="Body"/>
        <w:spacing w:before="0" w:beforeAutospacing="0" w:after="0" w:afterAutospacing="0"/>
        <w:jc w:val="left"/>
        <w:rPr>
          <w:sz w:val="16"/>
          <w:szCs w:val="16"/>
          <w:lang w:val="pt-BR"/>
        </w:rPr>
      </w:pPr>
      <w:r w:rsidRPr="00503DFE">
        <w:rPr>
          <w:rStyle w:val="FootnoteReference"/>
          <w:rFonts w:cs="Arial"/>
          <w:sz w:val="16"/>
          <w:szCs w:val="16"/>
        </w:rPr>
        <w:footnoteRef/>
      </w:r>
      <w:r w:rsidRPr="00503DFE">
        <w:rPr>
          <w:sz w:val="16"/>
          <w:szCs w:val="16"/>
          <w:lang w:val="pt-PT"/>
        </w:rPr>
        <w:t xml:space="preserve"> In Portuguese Programa Operacional do Potencial Humano.</w:t>
      </w:r>
    </w:p>
  </w:footnote>
  <w:footnote w:id="100">
    <w:p w14:paraId="44045B02" w14:textId="77777777" w:rsidR="00F41B98" w:rsidRPr="0092007F" w:rsidRDefault="00F41B98" w:rsidP="00F41B98">
      <w:pPr>
        <w:pStyle w:val="Body"/>
        <w:spacing w:before="0" w:beforeAutospacing="0" w:after="0" w:afterAutospacing="0"/>
        <w:jc w:val="left"/>
        <w:rPr>
          <w:lang w:val="pt-BR"/>
        </w:rPr>
      </w:pPr>
      <w:r w:rsidRPr="00503DFE">
        <w:rPr>
          <w:rStyle w:val="FootnoteReference"/>
          <w:rFonts w:cs="Arial"/>
          <w:b/>
          <w:sz w:val="16"/>
          <w:szCs w:val="16"/>
        </w:rPr>
        <w:footnoteRef/>
      </w:r>
      <w:r w:rsidRPr="00503DFE">
        <w:rPr>
          <w:sz w:val="16"/>
          <w:szCs w:val="16"/>
          <w:lang w:val="pt-PT"/>
        </w:rPr>
        <w:t xml:space="preserve"> In Portuguese Quadro de Referência Estratégico Nacional.</w:t>
      </w:r>
      <w:r w:rsidRPr="0092007F">
        <w:rPr>
          <w:lang w:val="pt-PT"/>
        </w:rPr>
        <w:t xml:space="preserve"> </w:t>
      </w:r>
    </w:p>
  </w:footnote>
  <w:footnote w:id="101">
    <w:p w14:paraId="2527B5E2" w14:textId="77777777" w:rsidR="00F41B98" w:rsidRPr="00C13C17" w:rsidRDefault="00F41B98" w:rsidP="00F41B98">
      <w:pPr>
        <w:pStyle w:val="FootnoteText"/>
        <w:spacing w:after="0"/>
        <w:ind w:left="0" w:firstLine="0"/>
        <w:jc w:val="left"/>
        <w:rPr>
          <w:rFonts w:ascii="Verdana" w:hAnsi="Verdana" w:cs="Arial"/>
          <w:sz w:val="16"/>
          <w:szCs w:val="16"/>
          <w:lang w:val="en-US"/>
        </w:rPr>
      </w:pPr>
      <w:r w:rsidRPr="00C13C17">
        <w:rPr>
          <w:rStyle w:val="FootnoteReference"/>
          <w:rFonts w:ascii="Verdana" w:hAnsi="Verdana" w:cs="Arial"/>
          <w:sz w:val="16"/>
          <w:szCs w:val="16"/>
        </w:rPr>
        <w:footnoteRef/>
      </w:r>
      <w:r w:rsidRPr="00F32E15">
        <w:rPr>
          <w:rFonts w:ascii="Verdana" w:hAnsi="Verdana" w:cs="Arial"/>
          <w:sz w:val="16"/>
          <w:szCs w:val="16"/>
          <w:lang w:val="en-GB"/>
        </w:rPr>
        <w:t xml:space="preserve"> Data access on 20/09/2017 in http://www.poph.qren.pt/upload/docs/apresentação/POPH_Roadshow.pdf</w:t>
      </w:r>
    </w:p>
  </w:footnote>
  <w:footnote w:id="102">
    <w:p w14:paraId="7F796B86" w14:textId="77777777" w:rsidR="00F41B98" w:rsidRPr="0092007F" w:rsidRDefault="00F41B98" w:rsidP="00F41B98">
      <w:pPr>
        <w:pStyle w:val="FootnoteText"/>
        <w:spacing w:after="0"/>
        <w:ind w:left="0" w:firstLine="0"/>
        <w:jc w:val="left"/>
        <w:rPr>
          <w:rFonts w:cs="Arial"/>
          <w:sz w:val="16"/>
          <w:szCs w:val="16"/>
          <w:lang w:val="en-US"/>
        </w:rPr>
      </w:pPr>
      <w:r w:rsidRPr="00C13C17">
        <w:rPr>
          <w:rStyle w:val="FootnoteReference"/>
          <w:rFonts w:ascii="Verdana" w:hAnsi="Verdana" w:cs="Arial"/>
          <w:sz w:val="16"/>
          <w:szCs w:val="16"/>
        </w:rPr>
        <w:footnoteRef/>
      </w:r>
      <w:r w:rsidRPr="00F32E15">
        <w:rPr>
          <w:rFonts w:ascii="Verdana" w:hAnsi="Verdana" w:cs="Arial"/>
          <w:sz w:val="16"/>
          <w:szCs w:val="16"/>
          <w:lang w:val="en-GB"/>
        </w:rPr>
        <w:t xml:space="preserve"> Data accessed on 20/09/2017 in https://www.portugal2020.pt/Portal2020/Media/Default/Docs/Programas%20Operacionais/BROCHURAS%20PO/POCH_Apresentação%20Lançamento%20PT2020A.pdf</w:t>
      </w:r>
    </w:p>
  </w:footnote>
  <w:footnote w:id="103">
    <w:p w14:paraId="7EE73D1A" w14:textId="77777777" w:rsidR="00F41B98" w:rsidRPr="00C13C17" w:rsidRDefault="00F41B98" w:rsidP="00F41B98">
      <w:pPr>
        <w:pStyle w:val="FootnoteText"/>
        <w:spacing w:after="0"/>
        <w:ind w:left="0" w:firstLine="0"/>
        <w:jc w:val="left"/>
        <w:rPr>
          <w:rFonts w:ascii="Verdana" w:hAnsi="Verdana" w:cs="Arial"/>
          <w:sz w:val="16"/>
          <w:szCs w:val="16"/>
          <w:lang w:val="pt-BR"/>
        </w:rPr>
      </w:pPr>
      <w:r w:rsidRPr="00C13C17">
        <w:rPr>
          <w:rStyle w:val="FootnoteReference"/>
          <w:rFonts w:ascii="Verdana" w:hAnsi="Verdana" w:cs="Arial"/>
          <w:sz w:val="16"/>
          <w:szCs w:val="16"/>
        </w:rPr>
        <w:footnoteRef/>
      </w:r>
      <w:r w:rsidRPr="00C13C17">
        <w:rPr>
          <w:rFonts w:ascii="Verdana" w:hAnsi="Verdana" w:cs="Arial"/>
          <w:sz w:val="16"/>
          <w:szCs w:val="16"/>
          <w:lang w:val="es-ES"/>
        </w:rPr>
        <w:t xml:space="preserve"> In Portuguese </w:t>
      </w:r>
      <w:r w:rsidRPr="00C13C17">
        <w:rPr>
          <w:rFonts w:ascii="Verdana" w:hAnsi="Verdana" w:cs="Arial"/>
          <w:i/>
          <w:sz w:val="16"/>
          <w:szCs w:val="16"/>
          <w:lang w:val="es-ES"/>
        </w:rPr>
        <w:t>Quadro de Referência Estratégica Nacional – Programa Operacional Potencial Humano</w:t>
      </w:r>
      <w:r w:rsidRPr="00C13C17">
        <w:rPr>
          <w:rFonts w:ascii="Verdana" w:hAnsi="Verdana" w:cs="Arial"/>
          <w:sz w:val="16"/>
          <w:szCs w:val="16"/>
          <w:lang w:val="es-ES"/>
        </w:rPr>
        <w:t xml:space="preserve"> 2007-2013.</w:t>
      </w:r>
    </w:p>
  </w:footnote>
  <w:footnote w:id="104">
    <w:p w14:paraId="08201026" w14:textId="77777777" w:rsidR="00F41B98" w:rsidRPr="00C13C17" w:rsidRDefault="00F41B98" w:rsidP="00F41B98">
      <w:pPr>
        <w:pStyle w:val="FootnoteText"/>
        <w:spacing w:after="0"/>
        <w:ind w:left="0" w:firstLine="0"/>
        <w:jc w:val="left"/>
        <w:rPr>
          <w:rFonts w:ascii="Verdana" w:hAnsi="Verdana" w:cs="Arial"/>
          <w:sz w:val="16"/>
          <w:szCs w:val="16"/>
          <w:lang w:val="pt-BR"/>
        </w:rPr>
      </w:pPr>
      <w:r w:rsidRPr="00C13C17">
        <w:rPr>
          <w:rStyle w:val="FootnoteReference"/>
          <w:rFonts w:ascii="Verdana" w:hAnsi="Verdana" w:cs="Arial"/>
          <w:sz w:val="16"/>
          <w:szCs w:val="16"/>
        </w:rPr>
        <w:footnoteRef/>
      </w:r>
      <w:r w:rsidRPr="00C13C17">
        <w:rPr>
          <w:rFonts w:ascii="Verdana" w:hAnsi="Verdana" w:cs="Arial"/>
          <w:sz w:val="16"/>
          <w:szCs w:val="16"/>
          <w:lang w:val="es-ES"/>
        </w:rPr>
        <w:t xml:space="preserve"> </w:t>
      </w:r>
      <w:r w:rsidRPr="00C13C17">
        <w:rPr>
          <w:rFonts w:ascii="Verdana" w:hAnsi="Verdana" w:cs="Arial"/>
          <w:i/>
          <w:sz w:val="16"/>
          <w:szCs w:val="16"/>
          <w:lang w:val="es-ES"/>
        </w:rPr>
        <w:t>Quadro de Referência Estratégica Nacional – Programa Operacional Potencial Capital Humano 2014-2020.</w:t>
      </w:r>
    </w:p>
  </w:footnote>
  <w:footnote w:id="105">
    <w:p w14:paraId="51184577" w14:textId="77777777" w:rsidR="00F41B98" w:rsidRPr="00C13C17" w:rsidRDefault="00F41B98" w:rsidP="00F41B98">
      <w:pPr>
        <w:pStyle w:val="FootnoteText"/>
        <w:spacing w:after="0"/>
        <w:ind w:left="0" w:firstLine="0"/>
        <w:jc w:val="left"/>
        <w:rPr>
          <w:rFonts w:ascii="Verdana" w:hAnsi="Verdana" w:cs="Arial"/>
          <w:sz w:val="16"/>
          <w:szCs w:val="16"/>
          <w:lang w:val="en-US"/>
        </w:rPr>
      </w:pPr>
      <w:r w:rsidRPr="00C13C17">
        <w:rPr>
          <w:rStyle w:val="FootnoteReference"/>
          <w:rFonts w:ascii="Verdana" w:hAnsi="Verdana" w:cs="Arial"/>
          <w:sz w:val="16"/>
          <w:szCs w:val="16"/>
        </w:rPr>
        <w:footnoteRef/>
      </w:r>
      <w:r w:rsidRPr="00F32E15">
        <w:rPr>
          <w:rFonts w:ascii="Verdana" w:hAnsi="Verdana" w:cs="Arial"/>
          <w:sz w:val="16"/>
          <w:szCs w:val="16"/>
          <w:lang w:val="en-GB"/>
        </w:rPr>
        <w:t xml:space="preserve"> Data accessed on 20/09/2017 in https://www.portugal2020.pt/Portal2020/Media/Default/Docs/Programas%20Operacionais/BROCHURAS%20PO/POCH_Apresentação%20Lançamento%20PT2020A.pdf</w:t>
      </w:r>
    </w:p>
  </w:footnote>
  <w:footnote w:id="106">
    <w:p w14:paraId="5EE48EAA" w14:textId="77777777" w:rsidR="00F41B98" w:rsidRPr="00C13C17" w:rsidRDefault="00F41B98" w:rsidP="00F41B98">
      <w:pPr>
        <w:pStyle w:val="FootnoteText"/>
        <w:spacing w:after="0"/>
        <w:ind w:left="0" w:firstLine="0"/>
        <w:jc w:val="left"/>
        <w:rPr>
          <w:rFonts w:ascii="Verdana" w:hAnsi="Verdana" w:cs="Arial"/>
          <w:sz w:val="16"/>
          <w:szCs w:val="16"/>
          <w:lang w:val="pt-BR"/>
        </w:rPr>
      </w:pPr>
      <w:r w:rsidRPr="00C13C17">
        <w:rPr>
          <w:rStyle w:val="FootnoteReference"/>
          <w:rFonts w:ascii="Verdana" w:hAnsi="Verdana" w:cs="Arial"/>
          <w:sz w:val="16"/>
          <w:szCs w:val="16"/>
        </w:rPr>
        <w:footnoteRef/>
      </w:r>
      <w:r w:rsidRPr="00F32E15">
        <w:rPr>
          <w:rFonts w:ascii="Verdana" w:hAnsi="Verdana" w:cs="Arial"/>
          <w:sz w:val="16"/>
          <w:szCs w:val="16"/>
          <w:lang w:val="en-GB"/>
        </w:rPr>
        <w:t xml:space="preserve"> Data access on 20/09/2017 in http://www.poph.qren.pt/upload/docs/apresentação/POPH_Roadshow.pdf</w:t>
      </w:r>
    </w:p>
  </w:footnote>
  <w:footnote w:id="107">
    <w:p w14:paraId="0141F37E" w14:textId="77777777" w:rsidR="00F41B98" w:rsidRPr="0092007F" w:rsidRDefault="00F41B98" w:rsidP="00F41B98">
      <w:pPr>
        <w:pStyle w:val="FootnoteText"/>
        <w:spacing w:after="0"/>
        <w:ind w:left="0" w:firstLine="0"/>
        <w:jc w:val="left"/>
        <w:rPr>
          <w:rFonts w:cs="Arial"/>
          <w:sz w:val="16"/>
          <w:szCs w:val="16"/>
          <w:lang w:val="en-US"/>
        </w:rPr>
      </w:pPr>
      <w:r w:rsidRPr="00C13C17">
        <w:rPr>
          <w:rStyle w:val="FootnoteReference"/>
          <w:rFonts w:ascii="Verdana" w:hAnsi="Verdana" w:cs="Arial"/>
          <w:sz w:val="16"/>
          <w:szCs w:val="16"/>
        </w:rPr>
        <w:footnoteRef/>
      </w:r>
      <w:r w:rsidRPr="00F32E15">
        <w:rPr>
          <w:rFonts w:ascii="Verdana" w:hAnsi="Verdana" w:cs="Arial"/>
          <w:sz w:val="16"/>
          <w:szCs w:val="16"/>
          <w:lang w:val="en-GB"/>
        </w:rPr>
        <w:t xml:space="preserve"> Information accessed on 20/09/2017 in http://www.poph.qren.pt/upload/docs/apresentação/POPH_Roadshow.pdf.</w:t>
      </w:r>
    </w:p>
  </w:footnote>
  <w:footnote w:id="108">
    <w:p w14:paraId="5A26D32E" w14:textId="77777777" w:rsidR="00F41B98" w:rsidRPr="00027C6B" w:rsidRDefault="00F41B98" w:rsidP="00F41B98">
      <w:pPr>
        <w:pStyle w:val="FootnoteText"/>
        <w:spacing w:after="0"/>
        <w:ind w:left="0" w:firstLine="0"/>
        <w:jc w:val="left"/>
        <w:rPr>
          <w:rFonts w:ascii="Verdana" w:hAnsi="Verdana" w:cs="Arial"/>
          <w:sz w:val="16"/>
          <w:szCs w:val="16"/>
          <w:lang w:val="pt-BR"/>
        </w:rPr>
      </w:pPr>
      <w:r w:rsidRPr="00027C6B">
        <w:rPr>
          <w:rStyle w:val="FootnoteReference"/>
          <w:rFonts w:ascii="Verdana" w:hAnsi="Verdana" w:cs="Arial"/>
          <w:sz w:val="16"/>
          <w:szCs w:val="16"/>
        </w:rPr>
        <w:footnoteRef/>
      </w:r>
      <w:r w:rsidRPr="00027C6B">
        <w:rPr>
          <w:rFonts w:ascii="Verdana" w:hAnsi="Verdana" w:cs="Arial"/>
          <w:sz w:val="16"/>
          <w:szCs w:val="16"/>
          <w:lang w:val="es-ES"/>
        </w:rPr>
        <w:t xml:space="preserve"> In Portuguese </w:t>
      </w:r>
      <w:r w:rsidRPr="00027C6B">
        <w:rPr>
          <w:rFonts w:ascii="Verdana" w:hAnsi="Verdana" w:cs="Arial"/>
          <w:i/>
          <w:sz w:val="16"/>
          <w:szCs w:val="16"/>
          <w:lang w:val="es-ES"/>
        </w:rPr>
        <w:t>Centros Novas Oportunidades</w:t>
      </w:r>
      <w:r w:rsidRPr="00027C6B">
        <w:rPr>
          <w:rFonts w:ascii="Verdana" w:hAnsi="Verdana" w:cs="Arial"/>
          <w:sz w:val="16"/>
          <w:szCs w:val="16"/>
          <w:lang w:val="es-ES"/>
        </w:rPr>
        <w:t>.</w:t>
      </w:r>
    </w:p>
  </w:footnote>
  <w:footnote w:id="109">
    <w:p w14:paraId="15387FCB" w14:textId="77777777" w:rsidR="00F41B98" w:rsidRPr="00F32E15" w:rsidRDefault="00F41B98" w:rsidP="00F41B98">
      <w:pPr>
        <w:pStyle w:val="BodyText"/>
        <w:spacing w:after="0"/>
        <w:jc w:val="left"/>
        <w:rPr>
          <w:rFonts w:cs="Arial"/>
          <w:sz w:val="16"/>
          <w:szCs w:val="16"/>
          <w:lang w:val="en-GB"/>
        </w:rPr>
      </w:pPr>
      <w:r w:rsidRPr="00027C6B">
        <w:rPr>
          <w:rStyle w:val="FootnoteReference"/>
          <w:rFonts w:cs="Arial"/>
          <w:sz w:val="16"/>
          <w:szCs w:val="16"/>
        </w:rPr>
        <w:footnoteRef/>
      </w:r>
      <w:r w:rsidRPr="00F32E15">
        <w:rPr>
          <w:rFonts w:cs="Arial"/>
          <w:sz w:val="16"/>
          <w:szCs w:val="16"/>
          <w:lang w:val="en-GB"/>
        </w:rPr>
        <w:t xml:space="preserve"> The centres for qualification and vocational education and training that belonged to the national public system and currently centres qualify were given financial support through the European Social Fund (in Portuguese </w:t>
      </w:r>
      <w:r w:rsidRPr="00F32E15">
        <w:rPr>
          <w:rFonts w:cs="Arial"/>
          <w:i/>
          <w:sz w:val="16"/>
          <w:szCs w:val="16"/>
          <w:lang w:val="en-GB"/>
        </w:rPr>
        <w:t>Programa Operacional Capital Humano</w:t>
      </w:r>
      <w:r w:rsidRPr="00F32E15">
        <w:rPr>
          <w:rFonts w:cs="Arial"/>
          <w:sz w:val="16"/>
          <w:szCs w:val="16"/>
          <w:lang w:val="en-GB"/>
        </w:rPr>
        <w:t>) (85 %) - Portaria n</w:t>
      </w:r>
      <w:proofErr w:type="gramStart"/>
      <w:r w:rsidRPr="00F32E15">
        <w:rPr>
          <w:rFonts w:cs="Arial"/>
          <w:sz w:val="16"/>
          <w:szCs w:val="16"/>
          <w:lang w:val="en-GB"/>
        </w:rPr>
        <w:t>.º</w:t>
      </w:r>
      <w:proofErr w:type="gramEnd"/>
      <w:r w:rsidRPr="00F32E15">
        <w:rPr>
          <w:rFonts w:cs="Arial"/>
          <w:sz w:val="16"/>
          <w:szCs w:val="16"/>
          <w:lang w:val="en-GB"/>
        </w:rPr>
        <w:t xml:space="preserve"> 60-B/2015, 02/03 – namely centres located in the North, Centre and Alentejo regions - and from the general State budget (15 %) for 2014-2020. Centres based in schools and training centres, in the Lisbon and Algarve areas, are mainly State-funded and it is possible to find very few that are not State-funded and need to find their own funding resources (data provided by the national agency for qualification in March 2016).</w:t>
      </w:r>
    </w:p>
  </w:footnote>
  <w:footnote w:id="110">
    <w:p w14:paraId="338B4778" w14:textId="77777777" w:rsidR="00F41B98" w:rsidRPr="0092007F" w:rsidRDefault="00F41B98" w:rsidP="00F41B98">
      <w:pPr>
        <w:pStyle w:val="FootnoteText"/>
        <w:spacing w:after="0"/>
        <w:ind w:left="0" w:firstLine="0"/>
        <w:jc w:val="left"/>
        <w:rPr>
          <w:rFonts w:cs="Arial"/>
          <w:sz w:val="16"/>
          <w:szCs w:val="16"/>
          <w:lang w:val="it-IT"/>
        </w:rPr>
      </w:pPr>
      <w:r w:rsidRPr="00027C6B">
        <w:rPr>
          <w:rStyle w:val="FootnoteReference"/>
          <w:rFonts w:ascii="Verdana" w:hAnsi="Verdana" w:cs="Arial"/>
          <w:sz w:val="16"/>
          <w:szCs w:val="16"/>
        </w:rPr>
        <w:footnoteRef/>
      </w:r>
      <w:r w:rsidRPr="00027C6B">
        <w:rPr>
          <w:rFonts w:ascii="Verdana" w:hAnsi="Verdana" w:cs="Arial"/>
          <w:sz w:val="16"/>
          <w:szCs w:val="16"/>
          <w:lang w:val="pt-PT"/>
        </w:rPr>
        <w:t xml:space="preserve"> See Conselho Nacional de Educação (2015). </w:t>
      </w:r>
      <w:r w:rsidRPr="00027C6B">
        <w:rPr>
          <w:rFonts w:ascii="Verdana" w:hAnsi="Verdana" w:cs="Arial"/>
          <w:i/>
          <w:sz w:val="16"/>
          <w:szCs w:val="16"/>
          <w:lang w:val="it-IT"/>
        </w:rPr>
        <w:t>O Estado da Educação 2014</w:t>
      </w:r>
      <w:r w:rsidRPr="00027C6B">
        <w:rPr>
          <w:rFonts w:ascii="Verdana" w:hAnsi="Verdana" w:cs="Arial"/>
          <w:sz w:val="16"/>
          <w:szCs w:val="16"/>
          <w:lang w:val="it-IT"/>
        </w:rPr>
        <w:t>. Lisboa: Conselho Nacional de Educação.</w:t>
      </w:r>
    </w:p>
  </w:footnote>
  <w:footnote w:id="111">
    <w:p w14:paraId="532F0D14" w14:textId="77777777" w:rsidR="00F41B98" w:rsidRPr="00027C6B" w:rsidRDefault="00F41B98" w:rsidP="00F41B98">
      <w:pPr>
        <w:pStyle w:val="Pa0"/>
        <w:spacing w:line="240" w:lineRule="auto"/>
        <w:rPr>
          <w:rFonts w:ascii="Verdana" w:hAnsi="Verdana" w:cs="Arial"/>
          <w:color w:val="000000"/>
          <w:sz w:val="16"/>
          <w:szCs w:val="16"/>
          <w:lang w:val="it-IT"/>
        </w:rPr>
      </w:pPr>
      <w:r w:rsidRPr="00027C6B">
        <w:rPr>
          <w:rStyle w:val="FootnoteReference"/>
          <w:rFonts w:ascii="Verdana" w:hAnsi="Verdana" w:cs="Arial"/>
          <w:sz w:val="16"/>
          <w:szCs w:val="16"/>
        </w:rPr>
        <w:footnoteRef/>
      </w:r>
      <w:r w:rsidRPr="00027C6B">
        <w:rPr>
          <w:rFonts w:ascii="Verdana" w:hAnsi="Verdana" w:cs="Arial"/>
          <w:sz w:val="16"/>
          <w:szCs w:val="16"/>
          <w:lang w:val="it-IT"/>
        </w:rPr>
        <w:t xml:space="preserve"> See Carneiro, R. (dir.) </w:t>
      </w:r>
      <w:r w:rsidRPr="00027C6B">
        <w:rPr>
          <w:rFonts w:ascii="Verdana" w:hAnsi="Verdana" w:cs="Arial"/>
          <w:sz w:val="16"/>
          <w:szCs w:val="16"/>
          <w:lang w:val="pt-PT"/>
        </w:rPr>
        <w:t xml:space="preserve">(2011). </w:t>
      </w:r>
      <w:r w:rsidRPr="00027C6B">
        <w:rPr>
          <w:rFonts w:ascii="Verdana" w:hAnsi="Verdana" w:cs="Arial"/>
          <w:color w:val="000000"/>
          <w:sz w:val="16"/>
          <w:szCs w:val="16"/>
        </w:rPr>
        <w:t xml:space="preserve">Accreditation of Prior Learning as a Lever for Lifelong Learning: Lessons Learnt from the New Opportunities Initiative, Portugal. </w:t>
      </w:r>
      <w:r w:rsidRPr="00027C6B">
        <w:rPr>
          <w:rFonts w:ascii="Verdana" w:hAnsi="Verdana" w:cs="Arial"/>
          <w:color w:val="000000"/>
          <w:sz w:val="16"/>
          <w:szCs w:val="16"/>
          <w:lang w:val="it-IT"/>
        </w:rPr>
        <w:t>Braga: UNESCO/MENON/CEPCEP.</w:t>
      </w:r>
    </w:p>
  </w:footnote>
  <w:footnote w:id="112">
    <w:p w14:paraId="4F15AB0E" w14:textId="77777777" w:rsidR="00F41B98" w:rsidRPr="00027C6B" w:rsidRDefault="00F41B98" w:rsidP="00F41B98">
      <w:pPr>
        <w:widowControl w:val="0"/>
        <w:autoSpaceDE w:val="0"/>
        <w:autoSpaceDN w:val="0"/>
        <w:adjustRightInd w:val="0"/>
        <w:spacing w:after="0"/>
        <w:jc w:val="left"/>
        <w:rPr>
          <w:rFonts w:ascii="Verdana" w:hAnsi="Verdana" w:cs="Arial"/>
          <w:sz w:val="16"/>
          <w:szCs w:val="16"/>
          <w:lang w:val="en-US"/>
        </w:rPr>
      </w:pPr>
      <w:r w:rsidRPr="00027C6B">
        <w:rPr>
          <w:rStyle w:val="FootnoteReference"/>
          <w:rFonts w:ascii="Verdana" w:hAnsi="Verdana" w:cs="Arial"/>
          <w:sz w:val="16"/>
          <w:szCs w:val="16"/>
        </w:rPr>
        <w:footnoteRef/>
      </w:r>
      <w:r w:rsidRPr="00027C6B">
        <w:rPr>
          <w:rFonts w:ascii="Verdana" w:hAnsi="Verdana" w:cs="Arial"/>
          <w:sz w:val="16"/>
          <w:szCs w:val="16"/>
          <w:lang w:val="it-IT"/>
        </w:rPr>
        <w:t xml:space="preserve"> See Lima, F. (coord</w:t>
      </w:r>
      <w:proofErr w:type="gramStart"/>
      <w:r w:rsidRPr="00027C6B">
        <w:rPr>
          <w:rFonts w:ascii="Verdana" w:hAnsi="Verdana" w:cs="Arial"/>
          <w:sz w:val="16"/>
          <w:szCs w:val="16"/>
          <w:lang w:val="it-IT"/>
        </w:rPr>
        <w:t>.)(</w:t>
      </w:r>
      <w:proofErr w:type="gramEnd"/>
      <w:r w:rsidRPr="00027C6B">
        <w:rPr>
          <w:rFonts w:ascii="Verdana" w:hAnsi="Verdana" w:cs="Arial"/>
          <w:sz w:val="16"/>
          <w:szCs w:val="16"/>
          <w:lang w:val="it-IT"/>
        </w:rPr>
        <w:t xml:space="preserve">2012). </w:t>
      </w:r>
      <w:r w:rsidRPr="00027C6B">
        <w:rPr>
          <w:rFonts w:ascii="Verdana" w:hAnsi="Verdana" w:cs="Arial"/>
          <w:i/>
          <w:sz w:val="16"/>
          <w:szCs w:val="16"/>
          <w:lang w:val="it-IT"/>
        </w:rPr>
        <w:t>Os Processos de Reconhecimento, Validação e Certificação de Competências e o Desempenho no Mercado de Trabalho</w:t>
      </w:r>
      <w:r w:rsidRPr="00027C6B">
        <w:rPr>
          <w:rFonts w:ascii="Verdana" w:hAnsi="Verdana" w:cs="Arial"/>
          <w:sz w:val="16"/>
          <w:szCs w:val="16"/>
          <w:lang w:val="it-IT"/>
        </w:rPr>
        <w:t>. Lisboa: IST/CEG and Lima, F. (coord</w:t>
      </w:r>
      <w:proofErr w:type="gramStart"/>
      <w:r w:rsidRPr="00027C6B">
        <w:rPr>
          <w:rFonts w:ascii="Verdana" w:hAnsi="Verdana" w:cs="Arial"/>
          <w:sz w:val="16"/>
          <w:szCs w:val="16"/>
          <w:lang w:val="it-IT"/>
        </w:rPr>
        <w:t>.)(</w:t>
      </w:r>
      <w:proofErr w:type="gramEnd"/>
      <w:r w:rsidRPr="00027C6B">
        <w:rPr>
          <w:rFonts w:ascii="Verdana" w:hAnsi="Verdana" w:cs="Arial"/>
          <w:sz w:val="16"/>
          <w:szCs w:val="16"/>
          <w:lang w:val="it-IT"/>
        </w:rPr>
        <w:t xml:space="preserve">2012). </w:t>
      </w:r>
      <w:r w:rsidRPr="00027C6B">
        <w:rPr>
          <w:rFonts w:ascii="Verdana" w:hAnsi="Verdana" w:cs="Arial"/>
          <w:i/>
          <w:sz w:val="16"/>
          <w:szCs w:val="16"/>
          <w:lang w:val="it-IT"/>
        </w:rPr>
        <w:t>Avaliação dos Cursos de Educação e Formação de Adultos e Formações Modulares Certificadas: Empregabilidade e Remunerações</w:t>
      </w:r>
      <w:r w:rsidRPr="00027C6B">
        <w:rPr>
          <w:rFonts w:ascii="Verdana" w:hAnsi="Verdana" w:cs="Arial"/>
          <w:sz w:val="16"/>
          <w:szCs w:val="16"/>
          <w:lang w:val="it-IT"/>
        </w:rPr>
        <w:t xml:space="preserve">. </w:t>
      </w:r>
      <w:r w:rsidRPr="00027C6B">
        <w:rPr>
          <w:rFonts w:ascii="Verdana" w:hAnsi="Verdana" w:cs="Arial"/>
          <w:sz w:val="16"/>
          <w:szCs w:val="16"/>
          <w:lang w:val="en-US"/>
        </w:rPr>
        <w:t>Lisboa: IST/CEG.</w:t>
      </w:r>
    </w:p>
  </w:footnote>
  <w:footnote w:id="113">
    <w:p w14:paraId="0D501C6B" w14:textId="77777777" w:rsidR="00F41B98" w:rsidRPr="00027C6B" w:rsidRDefault="00F41B98" w:rsidP="00F41B98">
      <w:pPr>
        <w:pStyle w:val="FootnoteText"/>
        <w:spacing w:after="0"/>
        <w:ind w:left="0" w:firstLine="0"/>
        <w:jc w:val="left"/>
        <w:rPr>
          <w:rFonts w:ascii="Verdana" w:hAnsi="Verdana" w:cs="Arial"/>
          <w:sz w:val="16"/>
          <w:szCs w:val="16"/>
          <w:lang w:val="pt-BR"/>
        </w:rPr>
      </w:pPr>
      <w:r w:rsidRPr="00027C6B">
        <w:rPr>
          <w:rStyle w:val="FootnoteReference"/>
          <w:rFonts w:ascii="Verdana" w:hAnsi="Verdana" w:cs="Arial"/>
          <w:sz w:val="16"/>
          <w:szCs w:val="16"/>
        </w:rPr>
        <w:footnoteRef/>
      </w:r>
      <w:r w:rsidRPr="00027C6B">
        <w:rPr>
          <w:rFonts w:ascii="Verdana" w:hAnsi="Verdana" w:cs="Arial"/>
          <w:sz w:val="16"/>
          <w:szCs w:val="16"/>
          <w:lang w:val="it-IT"/>
        </w:rPr>
        <w:t xml:space="preserve"> See Carneiro, R. (dir.) </w:t>
      </w:r>
      <w:r w:rsidRPr="00F32E15">
        <w:rPr>
          <w:rFonts w:ascii="Verdana" w:hAnsi="Verdana" w:cs="Arial"/>
          <w:sz w:val="16"/>
          <w:szCs w:val="16"/>
          <w:lang w:val="en-GB"/>
        </w:rPr>
        <w:t xml:space="preserve">(2011). </w:t>
      </w:r>
      <w:r w:rsidRPr="00F32E15">
        <w:rPr>
          <w:rFonts w:ascii="Verdana" w:hAnsi="Verdana" w:cs="Arial"/>
          <w:color w:val="000000"/>
          <w:sz w:val="16"/>
          <w:szCs w:val="16"/>
          <w:lang w:val="en-GB"/>
        </w:rPr>
        <w:t xml:space="preserve">Accreditation of Prior Learning as a Lever for Lifelong Learning: Lessons Learnt from the New Opportunities Initiative, Portugal. </w:t>
      </w:r>
      <w:r w:rsidRPr="00027C6B">
        <w:rPr>
          <w:rFonts w:ascii="Verdana" w:hAnsi="Verdana" w:cs="Arial"/>
          <w:color w:val="000000"/>
          <w:sz w:val="16"/>
          <w:szCs w:val="16"/>
          <w:lang w:val="it-IT"/>
        </w:rPr>
        <w:t xml:space="preserve">Braga: UNESCO/MENON/CEPCEP and </w:t>
      </w:r>
      <w:r w:rsidRPr="00027C6B">
        <w:rPr>
          <w:rFonts w:ascii="Verdana" w:hAnsi="Verdana" w:cs="Arial"/>
          <w:sz w:val="16"/>
          <w:szCs w:val="16"/>
          <w:lang w:val="it-IT"/>
        </w:rPr>
        <w:t>Lima, F. (coord</w:t>
      </w:r>
      <w:proofErr w:type="gramStart"/>
      <w:r w:rsidRPr="00027C6B">
        <w:rPr>
          <w:rFonts w:ascii="Verdana" w:hAnsi="Verdana" w:cs="Arial"/>
          <w:sz w:val="16"/>
          <w:szCs w:val="16"/>
          <w:lang w:val="it-IT"/>
        </w:rPr>
        <w:t>.)(</w:t>
      </w:r>
      <w:proofErr w:type="gramEnd"/>
      <w:r w:rsidRPr="00027C6B">
        <w:rPr>
          <w:rFonts w:ascii="Verdana" w:hAnsi="Verdana" w:cs="Arial"/>
          <w:sz w:val="16"/>
          <w:szCs w:val="16"/>
          <w:lang w:val="it-IT"/>
        </w:rPr>
        <w:t xml:space="preserve">2012). </w:t>
      </w:r>
      <w:r w:rsidRPr="00027C6B">
        <w:rPr>
          <w:rFonts w:ascii="Verdana" w:hAnsi="Verdana" w:cs="Arial"/>
          <w:i/>
          <w:sz w:val="16"/>
          <w:szCs w:val="16"/>
          <w:lang w:val="it-IT"/>
        </w:rPr>
        <w:t>Os Processos de Reconhecimento, Validação e Certificação de Competências e o Desempenho no Mercado de Trabalho</w:t>
      </w:r>
      <w:r w:rsidRPr="00027C6B">
        <w:rPr>
          <w:rFonts w:ascii="Verdana" w:hAnsi="Verdana" w:cs="Arial"/>
          <w:sz w:val="16"/>
          <w:szCs w:val="16"/>
          <w:lang w:val="it-IT"/>
        </w:rPr>
        <w:t>. Lisboa: IST/CEG and Lima, F. (coord</w:t>
      </w:r>
      <w:proofErr w:type="gramStart"/>
      <w:r w:rsidRPr="00027C6B">
        <w:rPr>
          <w:rFonts w:ascii="Verdana" w:hAnsi="Verdana" w:cs="Arial"/>
          <w:sz w:val="16"/>
          <w:szCs w:val="16"/>
          <w:lang w:val="it-IT"/>
        </w:rPr>
        <w:t>.)(</w:t>
      </w:r>
      <w:proofErr w:type="gramEnd"/>
      <w:r w:rsidRPr="00027C6B">
        <w:rPr>
          <w:rFonts w:ascii="Verdana" w:hAnsi="Verdana" w:cs="Arial"/>
          <w:sz w:val="16"/>
          <w:szCs w:val="16"/>
          <w:lang w:val="it-IT"/>
        </w:rPr>
        <w:t xml:space="preserve">2012). </w:t>
      </w:r>
      <w:r w:rsidRPr="00027C6B">
        <w:rPr>
          <w:rFonts w:ascii="Verdana" w:hAnsi="Verdana" w:cs="Arial"/>
          <w:i/>
          <w:sz w:val="16"/>
          <w:szCs w:val="16"/>
          <w:lang w:val="it-IT"/>
        </w:rPr>
        <w:t>Avaliação dos Cursos de Educação e Formação de Adultos e Formações Modulares Certificadas: Empregabilidade e Remunerações</w:t>
      </w:r>
      <w:r w:rsidRPr="00027C6B">
        <w:rPr>
          <w:rFonts w:ascii="Verdana" w:hAnsi="Verdana" w:cs="Arial"/>
          <w:sz w:val="16"/>
          <w:szCs w:val="16"/>
          <w:lang w:val="it-IT"/>
        </w:rPr>
        <w:t xml:space="preserve">. </w:t>
      </w:r>
      <w:r w:rsidRPr="00027C6B">
        <w:rPr>
          <w:rFonts w:ascii="Verdana" w:hAnsi="Verdana" w:cs="Arial"/>
          <w:sz w:val="16"/>
          <w:szCs w:val="16"/>
          <w:lang w:val="pt-PT"/>
        </w:rPr>
        <w:t>Lisboa: IST/CEG.</w:t>
      </w:r>
    </w:p>
  </w:footnote>
  <w:footnote w:id="114">
    <w:p w14:paraId="555EF0AA" w14:textId="77777777" w:rsidR="00F41B98" w:rsidRPr="00027C6B" w:rsidRDefault="00F41B98" w:rsidP="00F41B98">
      <w:pPr>
        <w:pStyle w:val="FootnoteText"/>
        <w:spacing w:after="0"/>
        <w:ind w:left="0" w:firstLine="0"/>
        <w:jc w:val="left"/>
        <w:rPr>
          <w:rFonts w:ascii="Verdana" w:hAnsi="Verdana" w:cs="Arial"/>
          <w:sz w:val="16"/>
          <w:szCs w:val="16"/>
          <w:lang w:val="pt-BR"/>
        </w:rPr>
      </w:pPr>
      <w:r w:rsidRPr="00027C6B">
        <w:rPr>
          <w:rStyle w:val="FootnoteReference"/>
          <w:rFonts w:ascii="Verdana" w:hAnsi="Verdana" w:cs="Arial"/>
          <w:sz w:val="16"/>
          <w:szCs w:val="16"/>
        </w:rPr>
        <w:footnoteRef/>
      </w:r>
      <w:r w:rsidRPr="00027C6B">
        <w:rPr>
          <w:rFonts w:ascii="Verdana" w:hAnsi="Verdana" w:cs="Arial"/>
          <w:sz w:val="16"/>
          <w:szCs w:val="16"/>
          <w:lang w:val="pt-PT"/>
        </w:rPr>
        <w:t xml:space="preserve"> </w:t>
      </w:r>
      <w:r w:rsidRPr="00027C6B">
        <w:rPr>
          <w:rFonts w:ascii="Verdana" w:hAnsi="Verdana" w:cs="Arial"/>
          <w:sz w:val="16"/>
          <w:szCs w:val="16"/>
          <w:lang w:val="pt-BR"/>
        </w:rPr>
        <w:t>Portaria n.º 232/2016, 29/08.</w:t>
      </w:r>
    </w:p>
  </w:footnote>
  <w:footnote w:id="115">
    <w:p w14:paraId="364381A6" w14:textId="77777777" w:rsidR="00F41B98" w:rsidRPr="0092007F" w:rsidRDefault="00F41B98" w:rsidP="00F41B98">
      <w:pPr>
        <w:pStyle w:val="FootnoteText"/>
        <w:spacing w:after="0"/>
        <w:ind w:left="0" w:firstLine="0"/>
        <w:jc w:val="left"/>
        <w:rPr>
          <w:rFonts w:cs="Arial"/>
          <w:sz w:val="16"/>
          <w:szCs w:val="16"/>
          <w:lang w:val="pt-BR"/>
        </w:rPr>
      </w:pPr>
      <w:r w:rsidRPr="00027C6B">
        <w:rPr>
          <w:rStyle w:val="FootnoteReference"/>
          <w:rFonts w:ascii="Verdana" w:hAnsi="Verdana" w:cs="Arial"/>
          <w:sz w:val="16"/>
          <w:szCs w:val="16"/>
        </w:rPr>
        <w:footnoteRef/>
      </w:r>
      <w:r w:rsidRPr="00027C6B">
        <w:rPr>
          <w:rFonts w:ascii="Verdana" w:hAnsi="Verdana" w:cs="Arial"/>
          <w:sz w:val="16"/>
          <w:szCs w:val="16"/>
          <w:lang w:val="it-IT"/>
        </w:rPr>
        <w:t xml:space="preserve"> Portaria </w:t>
      </w:r>
      <w:proofErr w:type="gramStart"/>
      <w:r w:rsidRPr="00027C6B">
        <w:rPr>
          <w:rFonts w:ascii="Verdana" w:hAnsi="Verdana" w:cs="Arial"/>
          <w:sz w:val="16"/>
          <w:szCs w:val="16"/>
          <w:lang w:val="it-IT"/>
        </w:rPr>
        <w:t>n.º</w:t>
      </w:r>
      <w:proofErr w:type="gramEnd"/>
      <w:r w:rsidRPr="00027C6B">
        <w:rPr>
          <w:rFonts w:ascii="Verdana" w:hAnsi="Verdana" w:cs="Arial"/>
          <w:sz w:val="16"/>
          <w:szCs w:val="16"/>
          <w:lang w:val="it-IT"/>
        </w:rPr>
        <w:t xml:space="preserve"> 135-A/2013, 20/03.</w:t>
      </w:r>
    </w:p>
  </w:footnote>
  <w:footnote w:id="116">
    <w:p w14:paraId="56D1999E" w14:textId="77777777" w:rsidR="00F41B98" w:rsidRPr="00027C6B" w:rsidRDefault="00F41B98" w:rsidP="00F41B98">
      <w:pPr>
        <w:pStyle w:val="FootnoteText"/>
        <w:spacing w:after="0"/>
        <w:ind w:left="0" w:firstLine="0"/>
        <w:jc w:val="left"/>
        <w:rPr>
          <w:rFonts w:ascii="Verdana" w:hAnsi="Verdana" w:cs="Arial"/>
          <w:sz w:val="16"/>
          <w:szCs w:val="16"/>
          <w:lang w:val="pt-BR"/>
        </w:rPr>
      </w:pPr>
      <w:r w:rsidRPr="00027C6B">
        <w:rPr>
          <w:rStyle w:val="FootnoteReference"/>
          <w:rFonts w:ascii="Verdana" w:hAnsi="Verdana" w:cs="Arial"/>
          <w:sz w:val="16"/>
          <w:szCs w:val="16"/>
        </w:rPr>
        <w:footnoteRef/>
      </w:r>
      <w:r w:rsidRPr="00027C6B">
        <w:rPr>
          <w:rFonts w:ascii="Verdana" w:hAnsi="Verdana" w:cs="Arial"/>
          <w:sz w:val="16"/>
          <w:szCs w:val="16"/>
          <w:lang w:val="pt-PT"/>
        </w:rPr>
        <w:t xml:space="preserve"> See Amorim, J. P. (2013). </w:t>
      </w:r>
      <w:r w:rsidRPr="00027C6B">
        <w:rPr>
          <w:rFonts w:ascii="Verdana" w:hAnsi="Verdana" w:cs="Arial"/>
          <w:i/>
          <w:sz w:val="16"/>
          <w:szCs w:val="16"/>
          <w:lang w:val="pt-PT"/>
        </w:rPr>
        <w:t>Da “Abertura” das Instituições de Ensino Superior a “Novos Públicos”: O caso Português</w:t>
      </w:r>
      <w:r w:rsidRPr="00027C6B">
        <w:rPr>
          <w:rFonts w:ascii="Verdana" w:hAnsi="Verdana" w:cs="Arial"/>
          <w:sz w:val="16"/>
          <w:szCs w:val="16"/>
          <w:lang w:val="pt-PT"/>
        </w:rPr>
        <w:t xml:space="preserve"> (PhD Thesis). Porto: Universidade Católica Portuguesa and Monteiro, A, Barros, R. &amp; Moreira, J. (2015). Novos Públicos do ensino superior: abordagem à aprendizagem de estudantes de maiores de 23. </w:t>
      </w:r>
      <w:r w:rsidRPr="00027C6B">
        <w:rPr>
          <w:rFonts w:ascii="Verdana" w:hAnsi="Verdana" w:cs="Arial"/>
          <w:i/>
          <w:sz w:val="16"/>
          <w:szCs w:val="16"/>
          <w:lang w:val="pt-PT"/>
        </w:rPr>
        <w:t>Revista Portuguesa de Pedagogia</w:t>
      </w:r>
      <w:r w:rsidRPr="00027C6B">
        <w:rPr>
          <w:rFonts w:ascii="Verdana" w:hAnsi="Verdana" w:cs="Arial"/>
          <w:sz w:val="16"/>
          <w:szCs w:val="16"/>
          <w:lang w:val="pt-PT"/>
        </w:rPr>
        <w:t>, Ano 49-1, pp. 131-149.</w:t>
      </w:r>
    </w:p>
  </w:footnote>
  <w:footnote w:id="117">
    <w:p w14:paraId="7F7D3487" w14:textId="77777777" w:rsidR="00F41B98" w:rsidRPr="0092007F" w:rsidRDefault="00F41B98" w:rsidP="00F41B98">
      <w:pPr>
        <w:pStyle w:val="FootnoteText"/>
        <w:spacing w:after="0"/>
        <w:ind w:left="0" w:firstLine="0"/>
        <w:jc w:val="left"/>
        <w:rPr>
          <w:rFonts w:cs="Arial"/>
          <w:sz w:val="16"/>
          <w:szCs w:val="16"/>
          <w:lang w:val="pt-BR"/>
        </w:rPr>
      </w:pPr>
      <w:r w:rsidRPr="00027C6B">
        <w:rPr>
          <w:rStyle w:val="FootnoteReference"/>
          <w:rFonts w:ascii="Verdana" w:hAnsi="Verdana" w:cs="Arial"/>
          <w:sz w:val="16"/>
          <w:szCs w:val="16"/>
        </w:rPr>
        <w:footnoteRef/>
      </w:r>
      <w:r w:rsidRPr="00027C6B">
        <w:rPr>
          <w:rFonts w:ascii="Verdana" w:hAnsi="Verdana" w:cs="Arial"/>
          <w:sz w:val="16"/>
          <w:szCs w:val="16"/>
          <w:lang w:val="pt-PT"/>
        </w:rPr>
        <w:t xml:space="preserve"> According to Carneiro, R. (dir.) </w:t>
      </w:r>
      <w:r w:rsidRPr="00F32E15">
        <w:rPr>
          <w:rFonts w:ascii="Verdana" w:hAnsi="Verdana" w:cs="Arial"/>
          <w:sz w:val="16"/>
          <w:szCs w:val="16"/>
          <w:lang w:val="en-GB"/>
        </w:rPr>
        <w:t xml:space="preserve">(2011). </w:t>
      </w:r>
      <w:r w:rsidRPr="00F32E15">
        <w:rPr>
          <w:rFonts w:ascii="Verdana" w:hAnsi="Verdana" w:cs="Arial"/>
          <w:color w:val="000000"/>
          <w:sz w:val="16"/>
          <w:szCs w:val="16"/>
          <w:lang w:val="en-GB"/>
        </w:rPr>
        <w:t>Accreditation of Prior Learning as a Lever for Lifelong Learning: Lessons Learnt from the New Opportunities Initiative, Portugal. Braga: UNESCO/MENON/CEPCEP.</w:t>
      </w:r>
    </w:p>
  </w:footnote>
  <w:footnote w:id="118">
    <w:p w14:paraId="7BE001CD" w14:textId="77777777" w:rsidR="00F41B98" w:rsidRPr="00027C6B" w:rsidRDefault="00F41B98" w:rsidP="00F41B98">
      <w:pPr>
        <w:pStyle w:val="FootnoteText"/>
        <w:spacing w:after="0"/>
        <w:ind w:left="0" w:firstLine="0"/>
        <w:jc w:val="left"/>
        <w:rPr>
          <w:rFonts w:ascii="Verdana" w:hAnsi="Verdana" w:cs="Arial"/>
          <w:sz w:val="16"/>
          <w:szCs w:val="16"/>
          <w:lang w:val="pt-BR"/>
        </w:rPr>
      </w:pPr>
      <w:r w:rsidRPr="00027C6B">
        <w:rPr>
          <w:rStyle w:val="FootnoteReference"/>
          <w:rFonts w:ascii="Verdana" w:hAnsi="Verdana" w:cs="Arial"/>
          <w:sz w:val="16"/>
          <w:szCs w:val="16"/>
        </w:rPr>
        <w:footnoteRef/>
      </w:r>
      <w:r w:rsidRPr="00F32E15">
        <w:rPr>
          <w:rFonts w:ascii="Verdana" w:hAnsi="Verdana" w:cs="Arial"/>
          <w:sz w:val="16"/>
          <w:szCs w:val="16"/>
          <w:lang w:val="en-GB"/>
        </w:rPr>
        <w:t xml:space="preserve"> See Carneiro, R. (dir.) (2011). </w:t>
      </w:r>
      <w:r w:rsidRPr="00F32E15">
        <w:rPr>
          <w:rFonts w:ascii="Verdana" w:hAnsi="Verdana" w:cs="Arial"/>
          <w:color w:val="000000"/>
          <w:sz w:val="16"/>
          <w:szCs w:val="16"/>
          <w:lang w:val="en-GB"/>
        </w:rPr>
        <w:t xml:space="preserve">Accreditation of Prior Learning as a Lever for Lifelong Learning: Lessons Learnt from the New Opportunities Initiative, Portugal. </w:t>
      </w:r>
      <w:r w:rsidRPr="00027C6B">
        <w:rPr>
          <w:rFonts w:ascii="Verdana" w:hAnsi="Verdana" w:cs="Arial"/>
          <w:color w:val="000000"/>
          <w:sz w:val="16"/>
          <w:szCs w:val="16"/>
          <w:lang w:val="it-IT"/>
        </w:rPr>
        <w:t xml:space="preserve">Braga: UNESCO/MENON/CEPCEP, </w:t>
      </w:r>
      <w:r w:rsidRPr="00027C6B">
        <w:rPr>
          <w:rFonts w:ascii="Verdana" w:hAnsi="Verdana" w:cs="Arial"/>
          <w:sz w:val="16"/>
          <w:szCs w:val="16"/>
          <w:lang w:val="it-IT"/>
        </w:rPr>
        <w:t>Lima, F. (coord</w:t>
      </w:r>
      <w:proofErr w:type="gramStart"/>
      <w:r w:rsidRPr="00027C6B">
        <w:rPr>
          <w:rFonts w:ascii="Verdana" w:hAnsi="Verdana" w:cs="Arial"/>
          <w:sz w:val="16"/>
          <w:szCs w:val="16"/>
          <w:lang w:val="it-IT"/>
        </w:rPr>
        <w:t>.)(</w:t>
      </w:r>
      <w:proofErr w:type="gramEnd"/>
      <w:r w:rsidRPr="00027C6B">
        <w:rPr>
          <w:rFonts w:ascii="Verdana" w:hAnsi="Verdana" w:cs="Arial"/>
          <w:sz w:val="16"/>
          <w:szCs w:val="16"/>
          <w:lang w:val="it-IT"/>
        </w:rPr>
        <w:t xml:space="preserve">2012). </w:t>
      </w:r>
      <w:r w:rsidRPr="00027C6B">
        <w:rPr>
          <w:rFonts w:ascii="Verdana" w:hAnsi="Verdana" w:cs="Arial"/>
          <w:i/>
          <w:sz w:val="16"/>
          <w:szCs w:val="16"/>
          <w:lang w:val="it-IT"/>
        </w:rPr>
        <w:t>Os Processos de Reconhecimento, Validação e Certificação de Competências e o Desempenho no Mercado de Trabalho</w:t>
      </w:r>
      <w:r w:rsidRPr="00027C6B">
        <w:rPr>
          <w:rFonts w:ascii="Verdana" w:hAnsi="Verdana" w:cs="Arial"/>
          <w:sz w:val="16"/>
          <w:szCs w:val="16"/>
          <w:lang w:val="it-IT"/>
        </w:rPr>
        <w:t>. Lisboa: IST/CEG and Lima, F. (coord</w:t>
      </w:r>
      <w:proofErr w:type="gramStart"/>
      <w:r w:rsidRPr="00027C6B">
        <w:rPr>
          <w:rFonts w:ascii="Verdana" w:hAnsi="Verdana" w:cs="Arial"/>
          <w:sz w:val="16"/>
          <w:szCs w:val="16"/>
          <w:lang w:val="it-IT"/>
        </w:rPr>
        <w:t>.)(</w:t>
      </w:r>
      <w:proofErr w:type="gramEnd"/>
      <w:r w:rsidRPr="00027C6B">
        <w:rPr>
          <w:rFonts w:ascii="Verdana" w:hAnsi="Verdana" w:cs="Arial"/>
          <w:sz w:val="16"/>
          <w:szCs w:val="16"/>
          <w:lang w:val="it-IT"/>
        </w:rPr>
        <w:t xml:space="preserve">2012). </w:t>
      </w:r>
      <w:r w:rsidRPr="00027C6B">
        <w:rPr>
          <w:rFonts w:ascii="Verdana" w:hAnsi="Verdana" w:cs="Arial"/>
          <w:i/>
          <w:sz w:val="16"/>
          <w:szCs w:val="16"/>
          <w:lang w:val="it-IT"/>
        </w:rPr>
        <w:t>Avaliação dos Cursos de Educação e Formação de Adultos e Formações Modulares Certificadas: Empregabilidade e Remunerações</w:t>
      </w:r>
      <w:r w:rsidRPr="00027C6B">
        <w:rPr>
          <w:rFonts w:ascii="Verdana" w:hAnsi="Verdana" w:cs="Arial"/>
          <w:sz w:val="16"/>
          <w:szCs w:val="16"/>
          <w:lang w:val="it-IT"/>
        </w:rPr>
        <w:t xml:space="preserve">. </w:t>
      </w:r>
      <w:r w:rsidRPr="00027C6B">
        <w:rPr>
          <w:rFonts w:ascii="Verdana" w:hAnsi="Verdana" w:cs="Arial"/>
          <w:sz w:val="16"/>
          <w:szCs w:val="16"/>
          <w:lang w:val="pt-PT"/>
        </w:rPr>
        <w:t>Lisboa: IST/CEG, among others.</w:t>
      </w:r>
    </w:p>
  </w:footnote>
  <w:footnote w:id="119">
    <w:p w14:paraId="5BB20F28" w14:textId="77777777" w:rsidR="00F41B98" w:rsidRPr="00027C6B" w:rsidRDefault="00F41B98" w:rsidP="00F41B98">
      <w:pPr>
        <w:pStyle w:val="FootnoteText"/>
        <w:spacing w:after="0"/>
        <w:ind w:left="0" w:firstLine="0"/>
        <w:jc w:val="left"/>
        <w:rPr>
          <w:rFonts w:ascii="Verdana" w:hAnsi="Verdana" w:cs="Arial"/>
          <w:sz w:val="16"/>
          <w:szCs w:val="16"/>
          <w:lang w:val="pt-BR"/>
        </w:rPr>
      </w:pPr>
      <w:r w:rsidRPr="00027C6B">
        <w:rPr>
          <w:rStyle w:val="FootnoteReference"/>
          <w:rFonts w:ascii="Verdana" w:hAnsi="Verdana" w:cs="Arial"/>
          <w:sz w:val="16"/>
          <w:szCs w:val="16"/>
        </w:rPr>
        <w:footnoteRef/>
      </w:r>
      <w:r w:rsidRPr="00027C6B">
        <w:rPr>
          <w:rFonts w:ascii="Verdana" w:hAnsi="Verdana" w:cs="Arial"/>
          <w:sz w:val="16"/>
          <w:szCs w:val="16"/>
          <w:lang w:val="pt-PT"/>
        </w:rPr>
        <w:t xml:space="preserve"> See Instituto Nacional de Estatística (2013). </w:t>
      </w:r>
      <w:r w:rsidRPr="00027C6B">
        <w:rPr>
          <w:rFonts w:ascii="Verdana" w:hAnsi="Verdana" w:cs="Arial"/>
          <w:i/>
          <w:sz w:val="16"/>
          <w:szCs w:val="16"/>
          <w:lang w:val="it-IT"/>
        </w:rPr>
        <w:t>Aprendizagem ao Longo da Vida. Inquérito à Educação e Formação de Adultos 2011</w:t>
      </w:r>
      <w:r w:rsidRPr="00027C6B">
        <w:rPr>
          <w:rFonts w:ascii="Verdana" w:hAnsi="Verdana" w:cs="Arial"/>
          <w:sz w:val="16"/>
          <w:szCs w:val="16"/>
          <w:lang w:val="it-IT"/>
        </w:rPr>
        <w:t xml:space="preserve">. Lisboa: Instituto Nacional de Estatística, </w:t>
      </w:r>
      <w:r w:rsidRPr="00027C6B">
        <w:rPr>
          <w:rFonts w:ascii="Verdana" w:hAnsi="Verdana" w:cs="Arial"/>
          <w:sz w:val="16"/>
          <w:szCs w:val="16"/>
          <w:lang w:val="pt-BR"/>
        </w:rPr>
        <w:t xml:space="preserve">Ministério do Trabalho e Solidariedade Social/Gabinete de Estratégia e Planeamento (2009). </w:t>
      </w:r>
      <w:r w:rsidRPr="00027C6B">
        <w:rPr>
          <w:rFonts w:ascii="Verdana" w:hAnsi="Verdana" w:cs="Arial"/>
          <w:i/>
          <w:sz w:val="16"/>
          <w:szCs w:val="16"/>
          <w:lang w:val="pt-BR"/>
        </w:rPr>
        <w:t>Inquérito ao Impacte das Acções de Formação Profisisonal 2005-2007</w:t>
      </w:r>
      <w:r w:rsidRPr="00027C6B">
        <w:rPr>
          <w:rFonts w:ascii="Verdana" w:hAnsi="Verdana" w:cs="Arial"/>
          <w:sz w:val="16"/>
          <w:szCs w:val="16"/>
          <w:lang w:val="pt-BR"/>
        </w:rPr>
        <w:t xml:space="preserve">. </w:t>
      </w:r>
      <w:r w:rsidRPr="00027C6B">
        <w:rPr>
          <w:rFonts w:ascii="Verdana" w:hAnsi="Verdana" w:cs="Arial"/>
          <w:sz w:val="16"/>
          <w:szCs w:val="16"/>
          <w:lang w:val="it-IT"/>
        </w:rPr>
        <w:t xml:space="preserve">Lisboa: Ministério do Trabalho e Solidariedade Social/Gabinete de Estratégia e Planeamento, and Ministério da Economia e do Emprego/Gabinete de Estratégia e Estudos (2013). </w:t>
      </w:r>
      <w:r w:rsidRPr="00027C6B">
        <w:rPr>
          <w:rFonts w:ascii="Verdana" w:hAnsi="Verdana" w:cs="Arial"/>
          <w:i/>
          <w:sz w:val="16"/>
          <w:szCs w:val="16"/>
          <w:lang w:val="it-IT"/>
        </w:rPr>
        <w:t>Inquérito ao Impacto das Ações de Formação Profissional nas Empresas</w:t>
      </w:r>
      <w:r w:rsidRPr="00027C6B">
        <w:rPr>
          <w:rFonts w:ascii="Verdana" w:hAnsi="Verdana" w:cs="Arial"/>
          <w:sz w:val="16"/>
          <w:szCs w:val="16"/>
          <w:lang w:val="it-IT"/>
        </w:rPr>
        <w:t>. Lisboa: Ministério da Economia e do Emprego/Gabinete de Estratégia e Estudos.</w:t>
      </w:r>
    </w:p>
  </w:footnote>
  <w:footnote w:id="120">
    <w:p w14:paraId="58FC4AC5" w14:textId="77777777" w:rsidR="00F41B98" w:rsidRPr="0092007F" w:rsidRDefault="00F41B98" w:rsidP="00F41B98">
      <w:pPr>
        <w:pStyle w:val="FootnoteText"/>
        <w:spacing w:after="0"/>
        <w:ind w:left="0" w:firstLine="0"/>
        <w:jc w:val="left"/>
        <w:rPr>
          <w:rFonts w:cs="Arial"/>
          <w:sz w:val="16"/>
          <w:szCs w:val="16"/>
          <w:lang w:val="pt-BR"/>
        </w:rPr>
      </w:pPr>
      <w:r w:rsidRPr="00027C6B">
        <w:rPr>
          <w:rStyle w:val="FootnoteReference"/>
          <w:rFonts w:ascii="Verdana" w:hAnsi="Verdana" w:cs="Arial"/>
          <w:sz w:val="16"/>
          <w:szCs w:val="16"/>
        </w:rPr>
        <w:footnoteRef/>
      </w:r>
      <w:r w:rsidRPr="00F32E15">
        <w:rPr>
          <w:rFonts w:ascii="Verdana" w:hAnsi="Verdana" w:cs="Arial"/>
          <w:sz w:val="16"/>
          <w:szCs w:val="16"/>
          <w:lang w:val="en-GB"/>
        </w:rPr>
        <w:t xml:space="preserve"> See Carneiro, R. (dir.) (2011). </w:t>
      </w:r>
      <w:r w:rsidRPr="00F32E15">
        <w:rPr>
          <w:rFonts w:ascii="Verdana" w:hAnsi="Verdana" w:cs="Arial"/>
          <w:color w:val="000000"/>
          <w:sz w:val="16"/>
          <w:szCs w:val="16"/>
          <w:lang w:val="en-GB"/>
        </w:rPr>
        <w:t xml:space="preserve">Accreditation of Prior Learning as a Lever for Lifelong Learning: Lessons Learnt from the New Opportunities Initiative, Portugal. </w:t>
      </w:r>
      <w:r w:rsidRPr="00027C6B">
        <w:rPr>
          <w:rFonts w:ascii="Verdana" w:hAnsi="Verdana" w:cs="Arial"/>
          <w:color w:val="000000"/>
          <w:sz w:val="16"/>
          <w:szCs w:val="16"/>
          <w:lang w:val="it-IT"/>
        </w:rPr>
        <w:t xml:space="preserve">Braga: UNESCO/MENON/CEPCEP, </w:t>
      </w:r>
      <w:r w:rsidRPr="00027C6B">
        <w:rPr>
          <w:rFonts w:ascii="Verdana" w:hAnsi="Verdana" w:cs="Arial"/>
          <w:sz w:val="16"/>
          <w:szCs w:val="16"/>
          <w:lang w:val="it-IT"/>
        </w:rPr>
        <w:t>Lima, F. (coord</w:t>
      </w:r>
      <w:proofErr w:type="gramStart"/>
      <w:r w:rsidRPr="00027C6B">
        <w:rPr>
          <w:rFonts w:ascii="Verdana" w:hAnsi="Verdana" w:cs="Arial"/>
          <w:sz w:val="16"/>
          <w:szCs w:val="16"/>
          <w:lang w:val="it-IT"/>
        </w:rPr>
        <w:t>.)(</w:t>
      </w:r>
      <w:proofErr w:type="gramEnd"/>
      <w:r w:rsidRPr="00027C6B">
        <w:rPr>
          <w:rFonts w:ascii="Verdana" w:hAnsi="Verdana" w:cs="Arial"/>
          <w:sz w:val="16"/>
          <w:szCs w:val="16"/>
          <w:lang w:val="it-IT"/>
        </w:rPr>
        <w:t xml:space="preserve">2012). </w:t>
      </w:r>
      <w:r w:rsidRPr="00027C6B">
        <w:rPr>
          <w:rFonts w:ascii="Verdana" w:hAnsi="Verdana" w:cs="Arial"/>
          <w:i/>
          <w:sz w:val="16"/>
          <w:szCs w:val="16"/>
          <w:lang w:val="it-IT"/>
        </w:rPr>
        <w:t>Os Processos de Reconhecimento, Validação e Certificação de Competências e o Desempenho no Mercado de Trabalho</w:t>
      </w:r>
      <w:r w:rsidRPr="00027C6B">
        <w:rPr>
          <w:rFonts w:ascii="Verdana" w:hAnsi="Verdana" w:cs="Arial"/>
          <w:sz w:val="16"/>
          <w:szCs w:val="16"/>
          <w:lang w:val="it-IT"/>
        </w:rPr>
        <w:t>. Lisboa: IST/CEG and Lima, F. (coord</w:t>
      </w:r>
      <w:proofErr w:type="gramStart"/>
      <w:r w:rsidRPr="00027C6B">
        <w:rPr>
          <w:rFonts w:ascii="Verdana" w:hAnsi="Verdana" w:cs="Arial"/>
          <w:sz w:val="16"/>
          <w:szCs w:val="16"/>
          <w:lang w:val="it-IT"/>
        </w:rPr>
        <w:t>.)(</w:t>
      </w:r>
      <w:proofErr w:type="gramEnd"/>
      <w:r w:rsidRPr="00027C6B">
        <w:rPr>
          <w:rFonts w:ascii="Verdana" w:hAnsi="Verdana" w:cs="Arial"/>
          <w:sz w:val="16"/>
          <w:szCs w:val="16"/>
          <w:lang w:val="it-IT"/>
        </w:rPr>
        <w:t xml:space="preserve">2012). </w:t>
      </w:r>
      <w:r w:rsidRPr="00027C6B">
        <w:rPr>
          <w:rFonts w:ascii="Verdana" w:hAnsi="Verdana" w:cs="Arial"/>
          <w:i/>
          <w:sz w:val="16"/>
          <w:szCs w:val="16"/>
          <w:lang w:val="it-IT"/>
        </w:rPr>
        <w:t>Avaliação dos Cursos de Educação e Formação de Adultos e Formações Modulares Certificadas: Empregabilidade e Remunerações</w:t>
      </w:r>
      <w:r w:rsidRPr="00027C6B">
        <w:rPr>
          <w:rFonts w:ascii="Verdana" w:hAnsi="Verdana" w:cs="Arial"/>
          <w:sz w:val="16"/>
          <w:szCs w:val="16"/>
          <w:lang w:val="it-IT"/>
        </w:rPr>
        <w:t>. Lisboa: IST/CEG.</w:t>
      </w:r>
    </w:p>
  </w:footnote>
  <w:footnote w:id="121">
    <w:p w14:paraId="2F4B42D6" w14:textId="77777777" w:rsidR="00F41B98" w:rsidRPr="00027C6B" w:rsidRDefault="00F41B98" w:rsidP="00F41B98">
      <w:pPr>
        <w:pStyle w:val="FootnoteText"/>
        <w:spacing w:after="0"/>
        <w:ind w:left="0" w:firstLine="0"/>
        <w:jc w:val="left"/>
        <w:rPr>
          <w:rFonts w:ascii="Verdana" w:hAnsi="Verdana" w:cs="Arial"/>
          <w:sz w:val="16"/>
          <w:szCs w:val="16"/>
          <w:lang w:val="pt-BR"/>
        </w:rPr>
      </w:pPr>
      <w:r w:rsidRPr="00027C6B">
        <w:rPr>
          <w:rStyle w:val="FootnoteReference"/>
          <w:rFonts w:ascii="Verdana" w:hAnsi="Verdana" w:cs="Arial"/>
          <w:sz w:val="16"/>
          <w:szCs w:val="16"/>
        </w:rPr>
        <w:footnoteRef/>
      </w:r>
      <w:r w:rsidRPr="00F32E15">
        <w:rPr>
          <w:rFonts w:ascii="Verdana" w:hAnsi="Verdana" w:cs="Arial"/>
          <w:sz w:val="16"/>
          <w:szCs w:val="16"/>
          <w:lang w:val="en-GB"/>
        </w:rPr>
        <w:t xml:space="preserve"> See Carneiro, R. (dir.) (2011). </w:t>
      </w:r>
      <w:r w:rsidRPr="00F32E15">
        <w:rPr>
          <w:rFonts w:ascii="Verdana" w:hAnsi="Verdana" w:cs="Arial"/>
          <w:color w:val="000000"/>
          <w:sz w:val="16"/>
          <w:szCs w:val="16"/>
          <w:lang w:val="en-GB"/>
        </w:rPr>
        <w:t xml:space="preserve">Accreditation of Prior Learning as a Lever for Lifelong Learning: Lessons Learnt from the New Opportunities Initiative, Portugal. </w:t>
      </w:r>
      <w:r w:rsidRPr="00027C6B">
        <w:rPr>
          <w:rFonts w:ascii="Verdana" w:hAnsi="Verdana" w:cs="Arial"/>
          <w:color w:val="000000"/>
          <w:sz w:val="16"/>
          <w:szCs w:val="16"/>
          <w:lang w:val="it-IT"/>
        </w:rPr>
        <w:t xml:space="preserve">Braga: UNESCO/MENON/CEPCEP, </w:t>
      </w:r>
      <w:r w:rsidRPr="00027C6B">
        <w:rPr>
          <w:rFonts w:ascii="Verdana" w:hAnsi="Verdana" w:cs="Arial"/>
          <w:sz w:val="16"/>
          <w:szCs w:val="16"/>
          <w:lang w:val="it-IT"/>
        </w:rPr>
        <w:t xml:space="preserve">Cavaco, C (2009) </w:t>
      </w:r>
      <w:r w:rsidRPr="00027C6B">
        <w:rPr>
          <w:rFonts w:ascii="Verdana" w:hAnsi="Verdana" w:cs="Arial"/>
          <w:i/>
          <w:sz w:val="16"/>
          <w:szCs w:val="16"/>
          <w:lang w:val="it-IT"/>
        </w:rPr>
        <w:t>Adultos Pouco Escolarizados – Políticas e Práticas de Formação</w:t>
      </w:r>
      <w:r w:rsidRPr="00027C6B">
        <w:rPr>
          <w:rFonts w:ascii="Verdana" w:hAnsi="Verdana" w:cs="Arial"/>
          <w:sz w:val="16"/>
          <w:szCs w:val="16"/>
          <w:lang w:val="it-IT"/>
        </w:rPr>
        <w:t xml:space="preserve">. Lisboa: EDUCA - UI&amp;DCE, and Alves et al. (2016). Educação de adultos: aprender sempre. In M. Silva et al. (coord.), </w:t>
      </w:r>
      <w:r w:rsidRPr="00027C6B">
        <w:rPr>
          <w:rFonts w:ascii="Verdana" w:hAnsi="Verdana" w:cs="Arial"/>
          <w:i/>
          <w:sz w:val="16"/>
          <w:szCs w:val="16"/>
          <w:lang w:val="it-IT"/>
        </w:rPr>
        <w:t xml:space="preserve">Pensar a Educação. </w:t>
      </w:r>
      <w:r w:rsidRPr="00027C6B">
        <w:rPr>
          <w:rFonts w:ascii="Verdana" w:hAnsi="Verdana" w:cs="Arial"/>
          <w:i/>
          <w:sz w:val="16"/>
          <w:szCs w:val="16"/>
          <w:lang w:val="pt-PT"/>
        </w:rPr>
        <w:t>Temas Sectoriais</w:t>
      </w:r>
      <w:r w:rsidRPr="00027C6B">
        <w:rPr>
          <w:rFonts w:ascii="Verdana" w:hAnsi="Verdana" w:cs="Arial"/>
          <w:sz w:val="16"/>
          <w:szCs w:val="16"/>
          <w:lang w:val="pt-PT"/>
        </w:rPr>
        <w:t>. Lisboa: EDUCA, pp. 151-180, among other authors.</w:t>
      </w:r>
    </w:p>
  </w:footnote>
  <w:footnote w:id="122">
    <w:p w14:paraId="4DC3ED98" w14:textId="77777777" w:rsidR="00F41B98" w:rsidRPr="00027C6B" w:rsidRDefault="00F41B98" w:rsidP="00F41B98">
      <w:pPr>
        <w:pStyle w:val="FootnoteText"/>
        <w:spacing w:after="0"/>
        <w:ind w:left="0" w:firstLine="0"/>
        <w:jc w:val="left"/>
        <w:rPr>
          <w:rFonts w:ascii="Verdana" w:hAnsi="Verdana" w:cs="Arial"/>
          <w:sz w:val="16"/>
          <w:szCs w:val="16"/>
          <w:lang w:val="pt-BR"/>
        </w:rPr>
      </w:pPr>
      <w:r w:rsidRPr="00027C6B">
        <w:rPr>
          <w:rStyle w:val="FootnoteReference"/>
          <w:rFonts w:ascii="Verdana" w:hAnsi="Verdana" w:cs="Arial"/>
          <w:sz w:val="16"/>
          <w:szCs w:val="16"/>
        </w:rPr>
        <w:footnoteRef/>
      </w:r>
      <w:r w:rsidRPr="00027C6B">
        <w:rPr>
          <w:rFonts w:ascii="Verdana" w:hAnsi="Verdana" w:cs="Arial"/>
          <w:sz w:val="16"/>
          <w:szCs w:val="16"/>
          <w:lang w:val="pt-PT"/>
        </w:rPr>
        <w:t xml:space="preserve"> See p. 47 (</w:t>
      </w:r>
      <w:r w:rsidRPr="00027C6B">
        <w:rPr>
          <w:rFonts w:ascii="Verdana" w:hAnsi="Verdana" w:cs="Arial"/>
          <w:i/>
          <w:sz w:val="16"/>
          <w:szCs w:val="16"/>
          <w:lang w:val="pt-PT"/>
        </w:rPr>
        <w:t xml:space="preserve">Capítulo V - 21 causas para mobilizar Portugal, 3- Investir na educação de adultos e na formação ao longo da vida) </w:t>
      </w:r>
      <w:r w:rsidRPr="00027C6B">
        <w:rPr>
          <w:rFonts w:ascii="Verdana" w:hAnsi="Verdana" w:cs="Arial"/>
          <w:sz w:val="16"/>
          <w:szCs w:val="16"/>
          <w:lang w:val="pt-PT"/>
        </w:rPr>
        <w:t>accessed on 21/09/2017 in http://www.ps.pt/wp-content/uploads/2016/06/programa_eleitoral-PS-legislativas2015.pdf</w:t>
      </w:r>
    </w:p>
  </w:footnote>
  <w:footnote w:id="123">
    <w:p w14:paraId="707EC9F1" w14:textId="77777777" w:rsidR="00F41B98" w:rsidRPr="0092007F" w:rsidRDefault="00F41B98" w:rsidP="00F41B98">
      <w:pPr>
        <w:pStyle w:val="FootnoteText"/>
        <w:spacing w:after="0"/>
        <w:ind w:left="0" w:firstLine="0"/>
        <w:jc w:val="left"/>
        <w:rPr>
          <w:rFonts w:cs="Arial"/>
          <w:b/>
          <w:sz w:val="16"/>
          <w:szCs w:val="16"/>
          <w:lang w:val="en-US"/>
        </w:rPr>
      </w:pPr>
      <w:r w:rsidRPr="00027C6B">
        <w:rPr>
          <w:rStyle w:val="FootnoteReference"/>
          <w:rFonts w:ascii="Verdana" w:hAnsi="Verdana" w:cs="Arial"/>
          <w:sz w:val="16"/>
          <w:szCs w:val="16"/>
        </w:rPr>
        <w:footnoteRef/>
      </w:r>
      <w:r w:rsidRPr="00027C6B">
        <w:rPr>
          <w:rFonts w:ascii="Verdana" w:hAnsi="Verdana" w:cs="Arial"/>
          <w:sz w:val="16"/>
          <w:szCs w:val="16"/>
          <w:lang w:val="pt-PT"/>
        </w:rPr>
        <w:t xml:space="preserve"> In Portuguese </w:t>
      </w:r>
      <w:r w:rsidRPr="00027C6B">
        <w:rPr>
          <w:rFonts w:ascii="Verdana" w:hAnsi="Verdana" w:cs="Arial"/>
          <w:i/>
          <w:sz w:val="16"/>
          <w:szCs w:val="16"/>
          <w:lang w:val="pt-PT"/>
        </w:rPr>
        <w:t>Grandes Opções do Plano 2016-2019</w:t>
      </w:r>
      <w:r w:rsidRPr="00027C6B">
        <w:rPr>
          <w:rFonts w:ascii="Verdana" w:hAnsi="Verdana" w:cs="Arial"/>
          <w:sz w:val="16"/>
          <w:szCs w:val="16"/>
          <w:lang w:val="pt-PT"/>
        </w:rPr>
        <w:t xml:space="preserve">. </w:t>
      </w:r>
      <w:r w:rsidRPr="00F32E15">
        <w:rPr>
          <w:rFonts w:ascii="Verdana" w:hAnsi="Verdana" w:cs="Arial"/>
          <w:sz w:val="16"/>
          <w:szCs w:val="16"/>
          <w:lang w:val="en-GB"/>
        </w:rPr>
        <w:t>Information accessed on 21/09/2017 in http://app.parlamento.pt/webutils/docs/doc.pdf?path=6148523063446f764c3246795a5868774d546f334e7a67774c336470626d6c7561574e7059585270646d467a4c31684a53556b76644756346447397a4c334277624445784c56684a53556b755a47396a&amp;fich=ppl11-XIII.doc&amp;Inline=true</w:t>
      </w:r>
    </w:p>
  </w:footnote>
  <w:footnote w:id="124">
    <w:p w14:paraId="4B1607B4" w14:textId="77777777" w:rsidR="00F41B98" w:rsidRPr="00027C6B" w:rsidRDefault="00F41B98" w:rsidP="00F41B98">
      <w:pPr>
        <w:pStyle w:val="FootnoteText"/>
        <w:spacing w:after="0"/>
        <w:ind w:left="0" w:firstLine="0"/>
        <w:jc w:val="left"/>
        <w:rPr>
          <w:rFonts w:ascii="Verdana" w:hAnsi="Verdana" w:cs="Arial"/>
          <w:sz w:val="16"/>
          <w:szCs w:val="16"/>
          <w:lang w:val="en-US"/>
        </w:rPr>
      </w:pPr>
      <w:r w:rsidRPr="00027C6B">
        <w:rPr>
          <w:rStyle w:val="FootnoteReference"/>
          <w:rFonts w:ascii="Verdana" w:hAnsi="Verdana" w:cs="Arial"/>
          <w:sz w:val="16"/>
          <w:szCs w:val="16"/>
        </w:rPr>
        <w:footnoteRef/>
      </w:r>
      <w:r w:rsidRPr="00027C6B">
        <w:rPr>
          <w:rFonts w:ascii="Verdana" w:hAnsi="Verdana" w:cs="Arial"/>
          <w:sz w:val="16"/>
          <w:szCs w:val="16"/>
          <w:lang w:val="pt-PT"/>
        </w:rPr>
        <w:t xml:space="preserve"> In Portuguese </w:t>
      </w:r>
      <w:r w:rsidRPr="00027C6B">
        <w:rPr>
          <w:rFonts w:ascii="Verdana" w:hAnsi="Verdana" w:cs="Arial"/>
          <w:i/>
          <w:sz w:val="16"/>
          <w:szCs w:val="16"/>
          <w:lang w:val="pt-PT"/>
        </w:rPr>
        <w:t>Grandes Opções do Plano para 2017</w:t>
      </w:r>
      <w:r w:rsidRPr="00027C6B">
        <w:rPr>
          <w:rFonts w:ascii="Verdana" w:hAnsi="Verdana" w:cs="Arial"/>
          <w:sz w:val="16"/>
          <w:szCs w:val="16"/>
          <w:lang w:val="pt-PT"/>
        </w:rPr>
        <w:t xml:space="preserve">. </w:t>
      </w:r>
      <w:r w:rsidRPr="00F32E15">
        <w:rPr>
          <w:rFonts w:ascii="Verdana" w:hAnsi="Verdana" w:cs="Arial"/>
          <w:sz w:val="16"/>
          <w:szCs w:val="16"/>
          <w:lang w:val="en-GB"/>
        </w:rPr>
        <w:t>Data accessed on 21/09/2017 in http://app.parlamento.pt/webutils/docs/doc.pdf?path=6148523063446f764c3246795a5868774d546f334e7a67774c336470626d6c7561574e7059585270646d467a4c31684a53556b76644756346447397a4c33427762444d324c56684a53556b755a47396a&amp;fich=ppl36-XIII.doc&amp;Inline=true</w:t>
      </w:r>
    </w:p>
  </w:footnote>
  <w:footnote w:id="125">
    <w:p w14:paraId="273266A0" w14:textId="77777777" w:rsidR="00F41B98" w:rsidRPr="00027C6B" w:rsidRDefault="00F41B98" w:rsidP="00F41B98">
      <w:pPr>
        <w:spacing w:after="0"/>
        <w:jc w:val="left"/>
        <w:rPr>
          <w:rFonts w:ascii="Verdana" w:hAnsi="Verdana" w:cs="Arial"/>
          <w:sz w:val="16"/>
          <w:szCs w:val="16"/>
          <w:lang w:val="en-US"/>
        </w:rPr>
      </w:pPr>
      <w:r w:rsidRPr="00027C6B">
        <w:rPr>
          <w:rStyle w:val="FootnoteReference"/>
          <w:rFonts w:ascii="Verdana" w:hAnsi="Verdana" w:cs="Arial"/>
          <w:sz w:val="16"/>
          <w:szCs w:val="16"/>
        </w:rPr>
        <w:footnoteRef/>
      </w:r>
      <w:r w:rsidRPr="00027C6B">
        <w:rPr>
          <w:rFonts w:ascii="Verdana" w:hAnsi="Verdana" w:cs="Arial"/>
          <w:sz w:val="16"/>
          <w:szCs w:val="16"/>
          <w:lang w:val="pt-PT"/>
        </w:rPr>
        <w:t xml:space="preserve"> In Portuguese </w:t>
      </w:r>
      <w:r w:rsidRPr="00027C6B">
        <w:rPr>
          <w:rFonts w:ascii="Verdana" w:hAnsi="Verdana" w:cs="Arial"/>
          <w:i/>
          <w:sz w:val="16"/>
          <w:szCs w:val="16"/>
          <w:lang w:val="pt-PT"/>
        </w:rPr>
        <w:t>Conselho Económico e Social</w:t>
      </w:r>
      <w:r w:rsidRPr="00027C6B">
        <w:rPr>
          <w:rFonts w:ascii="Verdana" w:hAnsi="Verdana" w:cs="Arial"/>
          <w:sz w:val="16"/>
          <w:szCs w:val="16"/>
          <w:lang w:val="pt-PT"/>
        </w:rPr>
        <w:t xml:space="preserve">. </w:t>
      </w:r>
      <w:r w:rsidRPr="00F32E15">
        <w:rPr>
          <w:rFonts w:ascii="Verdana" w:hAnsi="Verdana" w:cs="Arial"/>
          <w:sz w:val="16"/>
          <w:szCs w:val="16"/>
          <w:lang w:val="en-GB"/>
        </w:rPr>
        <w:t>The economic and social council is a “</w:t>
      </w:r>
      <w:r w:rsidRPr="00027C6B">
        <w:rPr>
          <w:rFonts w:ascii="Verdana" w:hAnsi="Verdana" w:cs="Arial"/>
          <w:sz w:val="16"/>
          <w:szCs w:val="16"/>
          <w:shd w:val="clear" w:color="auto" w:fill="FFFFFF"/>
          <w:lang w:val="en-US"/>
        </w:rPr>
        <w:t>constitutional body for consultation and social concertation. Its main goals are to promote the participation of economic and social agents in decision-making procedures of the organs of sovereignty, within the scope of socioeconomic issues”. It is the place for dialogue between the Government, trade union and entrepreneurial confederations. Data accessed on 21/09/2017 in http://www.ces.pt/organizacao/sobre-ces/missao-objectivos</w:t>
      </w:r>
    </w:p>
  </w:footnote>
  <w:footnote w:id="126">
    <w:p w14:paraId="5397C09F" w14:textId="77777777" w:rsidR="00F41B98" w:rsidRPr="00027C6B" w:rsidRDefault="00F41B98" w:rsidP="00F41B98">
      <w:pPr>
        <w:pStyle w:val="FootnoteText"/>
        <w:spacing w:after="0"/>
        <w:ind w:left="0" w:firstLine="0"/>
        <w:jc w:val="left"/>
        <w:rPr>
          <w:rFonts w:ascii="Verdana" w:hAnsi="Verdana" w:cs="Arial"/>
          <w:sz w:val="16"/>
          <w:szCs w:val="16"/>
          <w:lang w:val="en-US"/>
        </w:rPr>
      </w:pPr>
      <w:r w:rsidRPr="00027C6B">
        <w:rPr>
          <w:rStyle w:val="FootnoteReference"/>
          <w:rFonts w:ascii="Verdana" w:hAnsi="Verdana" w:cs="Arial"/>
          <w:sz w:val="16"/>
          <w:szCs w:val="16"/>
        </w:rPr>
        <w:footnoteRef/>
      </w:r>
      <w:r w:rsidRPr="00F32E15">
        <w:rPr>
          <w:rFonts w:ascii="Verdana" w:hAnsi="Verdana" w:cs="Arial"/>
          <w:sz w:val="16"/>
          <w:szCs w:val="16"/>
          <w:lang w:val="en-GB"/>
        </w:rPr>
        <w:t xml:space="preserve"> Data accessed on 21/09/2017 in http://app.parlamento.pt/webutils/docs/doc.pdf?path=6148523063446f764c3246795a5868774d546f334e7a67774c336470626d6c7561574e7059585270646d467a4c31684a53556b76644756346447397a4c33427762444d324c56684a53556c664d6935775a47593d&amp;fich=ppl36-XIII_2.pdf&amp;Inline=true</w:t>
      </w:r>
    </w:p>
  </w:footnote>
  <w:footnote w:id="127">
    <w:p w14:paraId="7FC56BF3" w14:textId="77777777" w:rsidR="00F41B98" w:rsidRPr="00027C6B" w:rsidRDefault="00F41B98" w:rsidP="00F41B98">
      <w:pPr>
        <w:pStyle w:val="FootnoteText"/>
        <w:spacing w:after="0"/>
        <w:ind w:left="0" w:firstLine="0"/>
        <w:jc w:val="left"/>
        <w:rPr>
          <w:rFonts w:ascii="Verdana" w:hAnsi="Verdana" w:cs="Arial"/>
          <w:sz w:val="16"/>
          <w:szCs w:val="16"/>
          <w:lang w:val="en-US"/>
        </w:rPr>
      </w:pPr>
      <w:r w:rsidRPr="00027C6B">
        <w:rPr>
          <w:rStyle w:val="FootnoteReference"/>
          <w:rFonts w:ascii="Verdana" w:hAnsi="Verdana" w:cs="Arial"/>
          <w:sz w:val="16"/>
          <w:szCs w:val="16"/>
        </w:rPr>
        <w:footnoteRef/>
      </w:r>
      <w:r w:rsidRPr="00027C6B">
        <w:rPr>
          <w:rFonts w:ascii="Verdana" w:hAnsi="Verdana" w:cs="Arial"/>
          <w:sz w:val="16"/>
          <w:szCs w:val="16"/>
          <w:lang w:val="pt-PT"/>
        </w:rPr>
        <w:t xml:space="preserve"> In Portuguese Conselhos Setoriais para a Qualificação. </w:t>
      </w:r>
      <w:r w:rsidRPr="00F32E15">
        <w:rPr>
          <w:rFonts w:ascii="Verdana" w:hAnsi="Verdana" w:cs="Arial"/>
          <w:sz w:val="16"/>
          <w:szCs w:val="16"/>
          <w:lang w:val="en-GB"/>
        </w:rPr>
        <w:t>Data accessed on 21/09/2017 in http://www.catalogo.anqep.gov.pt/Home/CSQ</w:t>
      </w:r>
    </w:p>
  </w:footnote>
  <w:footnote w:id="128">
    <w:p w14:paraId="53CB4176" w14:textId="77777777" w:rsidR="00F41B98" w:rsidRPr="00027C6B" w:rsidRDefault="00F41B98" w:rsidP="00F41B98">
      <w:pPr>
        <w:pStyle w:val="FootnoteText"/>
        <w:spacing w:after="0"/>
        <w:ind w:left="0" w:firstLine="0"/>
        <w:jc w:val="left"/>
        <w:rPr>
          <w:rFonts w:ascii="Verdana" w:hAnsi="Verdana" w:cs="Arial"/>
          <w:sz w:val="16"/>
          <w:szCs w:val="16"/>
          <w:lang w:val="pt-BR"/>
        </w:rPr>
      </w:pPr>
      <w:r w:rsidRPr="00027C6B">
        <w:rPr>
          <w:rStyle w:val="FootnoteReference"/>
          <w:rFonts w:ascii="Verdana" w:hAnsi="Verdana" w:cs="Arial"/>
          <w:sz w:val="16"/>
          <w:szCs w:val="16"/>
        </w:rPr>
        <w:footnoteRef/>
      </w:r>
      <w:r w:rsidRPr="00027C6B">
        <w:rPr>
          <w:rFonts w:ascii="Verdana" w:hAnsi="Verdana" w:cs="Arial"/>
          <w:sz w:val="16"/>
          <w:szCs w:val="16"/>
          <w:lang w:val="pt-PT"/>
        </w:rPr>
        <w:t xml:space="preserve"> In Portuguese Associação Portuguesa de Educação e Formação de Adultos. </w:t>
      </w:r>
      <w:r w:rsidRPr="00F32E15">
        <w:rPr>
          <w:rFonts w:ascii="Verdana" w:hAnsi="Verdana" w:cs="Arial"/>
          <w:sz w:val="16"/>
          <w:szCs w:val="16"/>
          <w:lang w:val="en-GB"/>
        </w:rPr>
        <w:t xml:space="preserve">See </w:t>
      </w:r>
      <w:hyperlink r:id="rId21" w:history="1">
        <w:r w:rsidRPr="00F32E15">
          <w:rPr>
            <w:rStyle w:val="Hyperlink"/>
            <w:rFonts w:ascii="Verdana" w:hAnsi="Verdana" w:cs="Arial"/>
            <w:sz w:val="16"/>
            <w:szCs w:val="16"/>
            <w:lang w:val="en-GB"/>
          </w:rPr>
          <w:t>http://apefa.org.pt</w:t>
        </w:r>
      </w:hyperlink>
      <w:r w:rsidRPr="00F32E15">
        <w:rPr>
          <w:rFonts w:ascii="Verdana" w:hAnsi="Verdana" w:cs="Arial"/>
          <w:sz w:val="16"/>
          <w:szCs w:val="16"/>
          <w:lang w:val="en-GB"/>
        </w:rPr>
        <w:t xml:space="preserve"> accessed on 21/09/2017</w:t>
      </w:r>
    </w:p>
  </w:footnote>
  <w:footnote w:id="129">
    <w:p w14:paraId="379B3332" w14:textId="77777777" w:rsidR="00F41B98" w:rsidRPr="0092007F" w:rsidRDefault="00F41B98" w:rsidP="00F41B98">
      <w:pPr>
        <w:pStyle w:val="FootnoteText"/>
        <w:spacing w:after="0"/>
        <w:ind w:left="0" w:firstLine="0"/>
        <w:jc w:val="left"/>
        <w:rPr>
          <w:rFonts w:cs="Arial"/>
          <w:sz w:val="16"/>
          <w:szCs w:val="16"/>
          <w:lang w:val="en-US"/>
        </w:rPr>
      </w:pPr>
      <w:r w:rsidRPr="00027C6B">
        <w:rPr>
          <w:rStyle w:val="FootnoteReference"/>
          <w:rFonts w:ascii="Verdana" w:hAnsi="Verdana" w:cs="Arial"/>
          <w:sz w:val="16"/>
          <w:szCs w:val="16"/>
        </w:rPr>
        <w:footnoteRef/>
      </w:r>
      <w:r w:rsidRPr="00027C6B">
        <w:rPr>
          <w:rFonts w:ascii="Verdana" w:hAnsi="Verdana" w:cs="Arial"/>
          <w:sz w:val="16"/>
          <w:szCs w:val="16"/>
          <w:lang w:val="pt-PT"/>
        </w:rPr>
        <w:t xml:space="preserve"> In Portuguese Associação Portuguesa para a Cultura e Educação Permanente. </w:t>
      </w:r>
      <w:r w:rsidRPr="00F32E15">
        <w:rPr>
          <w:rFonts w:ascii="Verdana" w:hAnsi="Verdana" w:cs="Arial"/>
          <w:sz w:val="16"/>
          <w:szCs w:val="16"/>
          <w:lang w:val="en-GB"/>
        </w:rPr>
        <w:t xml:space="preserve">See </w:t>
      </w:r>
      <w:hyperlink r:id="rId22" w:history="1">
        <w:r w:rsidRPr="00F32E15">
          <w:rPr>
            <w:rStyle w:val="Hyperlink"/>
            <w:rFonts w:ascii="Verdana" w:hAnsi="Verdana" w:cs="Arial"/>
            <w:sz w:val="16"/>
            <w:szCs w:val="16"/>
            <w:lang w:val="en-GB"/>
          </w:rPr>
          <w:t>http://www.apcep.pt</w:t>
        </w:r>
      </w:hyperlink>
      <w:r w:rsidRPr="00F32E15">
        <w:rPr>
          <w:rFonts w:ascii="Verdana" w:hAnsi="Verdana" w:cs="Arial"/>
          <w:sz w:val="16"/>
          <w:szCs w:val="16"/>
          <w:lang w:val="en-GB"/>
        </w:rPr>
        <w:t xml:space="preserve"> accessed on 21/09/2017</w:t>
      </w:r>
    </w:p>
  </w:footnote>
  <w:footnote w:id="130">
    <w:p w14:paraId="46FD619F" w14:textId="77777777" w:rsidR="00F41B98" w:rsidRPr="00027C6B" w:rsidRDefault="00F41B98" w:rsidP="00F41B98">
      <w:pPr>
        <w:pStyle w:val="Body"/>
        <w:spacing w:before="0" w:beforeAutospacing="0" w:after="0" w:afterAutospacing="0"/>
        <w:jc w:val="left"/>
        <w:rPr>
          <w:sz w:val="16"/>
          <w:szCs w:val="16"/>
          <w:lang w:val="es-ES"/>
        </w:rPr>
      </w:pPr>
      <w:r w:rsidRPr="00027C6B">
        <w:rPr>
          <w:rStyle w:val="FootnoteReference"/>
          <w:rFonts w:cs="Arial"/>
          <w:sz w:val="16"/>
          <w:szCs w:val="16"/>
        </w:rPr>
        <w:footnoteRef/>
      </w:r>
      <w:r w:rsidRPr="00027C6B">
        <w:rPr>
          <w:sz w:val="16"/>
          <w:szCs w:val="16"/>
          <w:lang w:val="it-IT"/>
        </w:rPr>
        <w:t xml:space="preserve"> </w:t>
      </w:r>
      <w:r w:rsidRPr="00027C6B">
        <w:rPr>
          <w:sz w:val="16"/>
          <w:szCs w:val="16"/>
          <w:lang w:val="es-ES"/>
        </w:rPr>
        <w:t>Portaria n.º 232/2016, 29/08.</w:t>
      </w:r>
    </w:p>
  </w:footnote>
  <w:footnote w:id="131">
    <w:p w14:paraId="2395AA0B" w14:textId="77777777" w:rsidR="00F41B98" w:rsidRPr="00027C6B" w:rsidRDefault="00F41B98" w:rsidP="00F41B98">
      <w:pPr>
        <w:pStyle w:val="FootnoteText"/>
        <w:spacing w:after="0"/>
        <w:ind w:left="0" w:firstLine="0"/>
        <w:jc w:val="left"/>
        <w:rPr>
          <w:rFonts w:ascii="Verdana" w:hAnsi="Verdana" w:cs="Arial"/>
          <w:sz w:val="16"/>
          <w:szCs w:val="16"/>
          <w:lang w:val="pt-BR"/>
        </w:rPr>
      </w:pPr>
      <w:r w:rsidRPr="00027C6B">
        <w:rPr>
          <w:rStyle w:val="FootnoteReference"/>
          <w:rFonts w:ascii="Verdana" w:hAnsi="Verdana" w:cs="Arial"/>
          <w:sz w:val="16"/>
          <w:szCs w:val="16"/>
        </w:rPr>
        <w:footnoteRef/>
      </w:r>
      <w:r w:rsidRPr="00027C6B">
        <w:rPr>
          <w:rFonts w:ascii="Verdana" w:hAnsi="Verdana" w:cs="Arial"/>
          <w:sz w:val="16"/>
          <w:szCs w:val="16"/>
          <w:lang w:val="it-IT"/>
        </w:rPr>
        <w:t xml:space="preserve"> See Carneiro, R. (dir.) (2011). </w:t>
      </w:r>
      <w:r w:rsidRPr="00F32E15">
        <w:rPr>
          <w:rFonts w:ascii="Verdana" w:hAnsi="Verdana" w:cs="Arial"/>
          <w:color w:val="000000"/>
          <w:sz w:val="16"/>
          <w:szCs w:val="16"/>
          <w:lang w:val="en-GB"/>
        </w:rPr>
        <w:t xml:space="preserve">Accreditation of Prior Learning as a Lever for Lifelong Learning: Lessons Learnt from the New Opportunities Initiative, Portugal. </w:t>
      </w:r>
      <w:r w:rsidRPr="00027C6B">
        <w:rPr>
          <w:rFonts w:ascii="Verdana" w:hAnsi="Verdana" w:cs="Arial"/>
          <w:color w:val="000000"/>
          <w:sz w:val="16"/>
          <w:szCs w:val="16"/>
          <w:lang w:val="it-IT"/>
        </w:rPr>
        <w:t xml:space="preserve">Braga: UNESCO/MENON/CEPCEP, </w:t>
      </w:r>
      <w:r w:rsidRPr="00027C6B">
        <w:rPr>
          <w:rFonts w:ascii="Verdana" w:hAnsi="Verdana" w:cs="Arial"/>
          <w:sz w:val="16"/>
          <w:szCs w:val="16"/>
          <w:lang w:val="it-IT"/>
        </w:rPr>
        <w:t xml:space="preserve">Cavaco, C (2009) </w:t>
      </w:r>
      <w:r w:rsidRPr="00027C6B">
        <w:rPr>
          <w:rFonts w:ascii="Verdana" w:hAnsi="Verdana" w:cs="Arial"/>
          <w:i/>
          <w:sz w:val="16"/>
          <w:szCs w:val="16"/>
          <w:lang w:val="it-IT"/>
        </w:rPr>
        <w:t>Adultos Pouco Escolarizados – Políticas e Práticas de Formação</w:t>
      </w:r>
      <w:r w:rsidRPr="00027C6B">
        <w:rPr>
          <w:rFonts w:ascii="Verdana" w:hAnsi="Verdana" w:cs="Arial"/>
          <w:sz w:val="16"/>
          <w:szCs w:val="16"/>
          <w:lang w:val="it-IT"/>
        </w:rPr>
        <w:t xml:space="preserve">. Lisboa: EDUCA - UI&amp;DCE, and Alves et al. (2016). Educação de adultos: aprender sempre. In M. Silva et al. (coord.), </w:t>
      </w:r>
      <w:r w:rsidRPr="00027C6B">
        <w:rPr>
          <w:rFonts w:ascii="Verdana" w:hAnsi="Verdana" w:cs="Arial"/>
          <w:i/>
          <w:sz w:val="16"/>
          <w:szCs w:val="16"/>
          <w:lang w:val="it-IT"/>
        </w:rPr>
        <w:t xml:space="preserve">Pensar a Educação. </w:t>
      </w:r>
      <w:r w:rsidRPr="00027C6B">
        <w:rPr>
          <w:rFonts w:ascii="Verdana" w:hAnsi="Verdana" w:cs="Arial"/>
          <w:i/>
          <w:sz w:val="16"/>
          <w:szCs w:val="16"/>
          <w:lang w:val="pt-PT"/>
        </w:rPr>
        <w:t>Temas Sectoriais</w:t>
      </w:r>
      <w:r w:rsidRPr="00027C6B">
        <w:rPr>
          <w:rFonts w:ascii="Verdana" w:hAnsi="Verdana" w:cs="Arial"/>
          <w:sz w:val="16"/>
          <w:szCs w:val="16"/>
          <w:lang w:val="pt-PT"/>
        </w:rPr>
        <w:t xml:space="preserve">. </w:t>
      </w:r>
      <w:r w:rsidRPr="00F32E15">
        <w:rPr>
          <w:rFonts w:ascii="Verdana" w:hAnsi="Verdana" w:cs="Arial"/>
          <w:sz w:val="16"/>
          <w:szCs w:val="16"/>
          <w:lang w:val="en-GB"/>
        </w:rPr>
        <w:t>Lisboa: EDUCA, pp. 151-180, among other authors.</w:t>
      </w:r>
    </w:p>
  </w:footnote>
  <w:footnote w:id="132">
    <w:p w14:paraId="3FA931E0" w14:textId="77777777" w:rsidR="00F41B98" w:rsidRPr="00304CB9" w:rsidRDefault="00F41B98" w:rsidP="00F41B98">
      <w:pPr>
        <w:widowControl w:val="0"/>
        <w:autoSpaceDE w:val="0"/>
        <w:autoSpaceDN w:val="0"/>
        <w:adjustRightInd w:val="0"/>
        <w:spacing w:after="0"/>
        <w:jc w:val="left"/>
        <w:rPr>
          <w:rFonts w:ascii="Verdana" w:hAnsi="Verdana" w:cs="Arial"/>
          <w:color w:val="191919"/>
          <w:sz w:val="16"/>
          <w:szCs w:val="16"/>
          <w:lang w:val="en-US"/>
        </w:rPr>
      </w:pPr>
      <w:r w:rsidRPr="00027C6B">
        <w:rPr>
          <w:rStyle w:val="FootnoteReference"/>
          <w:rFonts w:ascii="Verdana" w:hAnsi="Verdana" w:cs="Arial"/>
          <w:sz w:val="16"/>
          <w:szCs w:val="16"/>
        </w:rPr>
        <w:footnoteRef/>
      </w:r>
      <w:r w:rsidRPr="00027C6B">
        <w:rPr>
          <w:rFonts w:ascii="Verdana" w:hAnsi="Verdana" w:cs="Arial"/>
          <w:sz w:val="16"/>
          <w:szCs w:val="16"/>
          <w:lang w:val="pt-PT"/>
        </w:rPr>
        <w:t xml:space="preserve"> See </w:t>
      </w:r>
      <w:r w:rsidRPr="00027C6B">
        <w:rPr>
          <w:rFonts w:ascii="Verdana" w:hAnsi="Verdana" w:cs="Arial"/>
          <w:color w:val="000000" w:themeColor="text1"/>
          <w:sz w:val="16"/>
          <w:szCs w:val="16"/>
          <w:lang w:val="pt-PT"/>
        </w:rPr>
        <w:t xml:space="preserve">Guimarães, P. &amp; Barros, R. (2015). </w:t>
      </w:r>
      <w:r w:rsidRPr="00027C6B">
        <w:rPr>
          <w:rFonts w:ascii="Verdana" w:hAnsi="Verdana" w:cs="Arial"/>
          <w:color w:val="000000" w:themeColor="text1"/>
          <w:sz w:val="16"/>
          <w:szCs w:val="16"/>
          <w:lang w:val="it-IT"/>
        </w:rPr>
        <w:t xml:space="preserve">A nova política pública de educação e formação de adultos em Portugal. </w:t>
      </w:r>
      <w:r w:rsidRPr="00027C6B">
        <w:rPr>
          <w:rFonts w:ascii="Verdana" w:hAnsi="Verdana" w:cs="Arial"/>
          <w:color w:val="000000" w:themeColor="text1"/>
          <w:sz w:val="16"/>
          <w:szCs w:val="16"/>
          <w:lang w:val="pt-PT"/>
        </w:rPr>
        <w:t xml:space="preserve">Os educadores de adultos numa encruzilhada? </w:t>
      </w:r>
      <w:r w:rsidRPr="00027C6B">
        <w:rPr>
          <w:rFonts w:ascii="Verdana" w:hAnsi="Verdana" w:cs="Arial"/>
          <w:i/>
          <w:color w:val="000000" w:themeColor="text1"/>
          <w:sz w:val="16"/>
          <w:szCs w:val="16"/>
          <w:lang w:val="pt-PT"/>
        </w:rPr>
        <w:t>Educação &amp; Sociedade</w:t>
      </w:r>
      <w:r w:rsidRPr="00027C6B">
        <w:rPr>
          <w:rFonts w:ascii="Verdana" w:hAnsi="Verdana" w:cs="Arial"/>
          <w:color w:val="000000" w:themeColor="text1"/>
          <w:sz w:val="16"/>
          <w:szCs w:val="16"/>
          <w:lang w:val="pt-PT"/>
        </w:rPr>
        <w:t>, v. 36, n.º 131, pp. 391-406</w:t>
      </w:r>
      <w:r w:rsidRPr="00027C6B">
        <w:rPr>
          <w:rFonts w:ascii="Verdana" w:hAnsi="Verdana" w:cs="Arial"/>
          <w:sz w:val="16"/>
          <w:szCs w:val="16"/>
          <w:lang w:val="pt-PT"/>
        </w:rPr>
        <w:t xml:space="preserve"> and </w:t>
      </w:r>
      <w:r w:rsidRPr="00027C6B">
        <w:rPr>
          <w:rFonts w:ascii="Verdana" w:hAnsi="Verdana" w:cs="Arial"/>
          <w:color w:val="191919"/>
          <w:sz w:val="16"/>
          <w:szCs w:val="16"/>
          <w:lang w:val="pt-PT"/>
        </w:rPr>
        <w:t xml:space="preserve">Loureiro, A. &amp; Caria, T. (2013). </w:t>
      </w:r>
      <w:r w:rsidRPr="00027C6B">
        <w:rPr>
          <w:rFonts w:ascii="Verdana" w:hAnsi="Verdana" w:cs="Arial"/>
          <w:color w:val="191919"/>
          <w:sz w:val="16"/>
          <w:szCs w:val="16"/>
          <w:lang w:val="en-US"/>
        </w:rPr>
        <w:t xml:space="preserve">To learn and to construct knowledge in the context of the work with adult education and training: a Portuguese case study”, </w:t>
      </w:r>
      <w:r w:rsidRPr="00027C6B">
        <w:rPr>
          <w:rFonts w:ascii="Verdana" w:hAnsi="Verdana" w:cs="Arial"/>
          <w:i/>
          <w:color w:val="191919"/>
          <w:sz w:val="16"/>
          <w:szCs w:val="16"/>
          <w:lang w:val="en-US"/>
        </w:rPr>
        <w:t>International Journal of Lifelong Education</w:t>
      </w:r>
      <w:r w:rsidRPr="00027C6B">
        <w:rPr>
          <w:rFonts w:ascii="Verdana" w:hAnsi="Verdana" w:cs="Arial"/>
          <w:color w:val="191919"/>
          <w:sz w:val="16"/>
          <w:szCs w:val="16"/>
          <w:lang w:val="en-US"/>
        </w:rPr>
        <w:t xml:space="preserve">, Vol. 32, nº 2, pp. </w:t>
      </w:r>
      <w:r w:rsidRPr="00304CB9">
        <w:rPr>
          <w:rFonts w:ascii="Verdana" w:hAnsi="Verdana" w:cs="Arial"/>
          <w:color w:val="191919"/>
          <w:sz w:val="16"/>
          <w:szCs w:val="16"/>
          <w:lang w:val="en-US"/>
        </w:rPr>
        <w:t xml:space="preserve">149-164 and Loureiro, A.; Cristóvão, A. &amp; Caria, T. (2013). Between external prescription and local practice: the uses of official knowledge by adult education professionals in Portugal, </w:t>
      </w:r>
      <w:r w:rsidRPr="00304CB9">
        <w:rPr>
          <w:rFonts w:ascii="Verdana" w:hAnsi="Verdana" w:cs="Arial"/>
          <w:i/>
          <w:color w:val="191919"/>
          <w:sz w:val="16"/>
          <w:szCs w:val="16"/>
          <w:lang w:val="en-US"/>
        </w:rPr>
        <w:t>European Journal for Research on the Education and Learning of Adults (RELA)</w:t>
      </w:r>
      <w:r w:rsidRPr="00304CB9">
        <w:rPr>
          <w:rFonts w:ascii="Verdana" w:hAnsi="Verdana" w:cs="Arial"/>
          <w:color w:val="191919"/>
          <w:sz w:val="16"/>
          <w:szCs w:val="16"/>
          <w:lang w:val="en-US"/>
        </w:rPr>
        <w:t>, vol 4, n.º 1 , pp. 65-80.</w:t>
      </w:r>
    </w:p>
  </w:footnote>
  <w:footnote w:id="133">
    <w:p w14:paraId="2C68380E" w14:textId="77777777" w:rsidR="00F41B98" w:rsidRPr="00304CB9" w:rsidRDefault="00F41B98" w:rsidP="00F41B98">
      <w:pPr>
        <w:pStyle w:val="FootnoteText"/>
        <w:spacing w:after="0"/>
        <w:ind w:left="0" w:firstLine="0"/>
        <w:jc w:val="left"/>
        <w:rPr>
          <w:rFonts w:ascii="Verdana" w:hAnsi="Verdana" w:cs="Arial"/>
          <w:sz w:val="16"/>
          <w:szCs w:val="16"/>
          <w:lang w:val="en-US"/>
        </w:rPr>
      </w:pPr>
      <w:r w:rsidRPr="00304CB9">
        <w:rPr>
          <w:rStyle w:val="FootnoteReference"/>
          <w:rFonts w:ascii="Verdana" w:hAnsi="Verdana" w:cs="Arial"/>
          <w:sz w:val="16"/>
          <w:szCs w:val="16"/>
        </w:rPr>
        <w:footnoteRef/>
      </w:r>
      <w:r w:rsidRPr="00F32E15">
        <w:rPr>
          <w:rFonts w:ascii="Verdana" w:hAnsi="Verdana" w:cs="Arial"/>
          <w:sz w:val="16"/>
          <w:szCs w:val="16"/>
          <w:lang w:val="en-GB"/>
        </w:rPr>
        <w:t xml:space="preserve"> Data accessed on 29/09/2016 in http://www.pordata.pt/Portugal/Taxa+de+analfabetismo+segundo+os+Censos+total+e+por+sexo-2517</w:t>
      </w:r>
    </w:p>
  </w:footnote>
  <w:footnote w:id="134">
    <w:p w14:paraId="353B42C2" w14:textId="77777777" w:rsidR="00F41B98" w:rsidRPr="00304CB9" w:rsidRDefault="00F41B98" w:rsidP="00F41B98">
      <w:pPr>
        <w:pStyle w:val="FootnoteText"/>
        <w:spacing w:after="0"/>
        <w:ind w:left="0" w:firstLine="0"/>
        <w:jc w:val="left"/>
        <w:rPr>
          <w:rFonts w:ascii="Verdana" w:hAnsi="Verdana" w:cs="Arial"/>
          <w:sz w:val="16"/>
          <w:szCs w:val="16"/>
          <w:lang w:val="it-IT"/>
        </w:rPr>
      </w:pPr>
      <w:r w:rsidRPr="00304CB9">
        <w:rPr>
          <w:rStyle w:val="FootnoteReference"/>
          <w:rFonts w:ascii="Verdana" w:hAnsi="Verdana" w:cs="Arial"/>
          <w:sz w:val="16"/>
          <w:szCs w:val="16"/>
        </w:rPr>
        <w:footnoteRef/>
      </w:r>
      <w:r w:rsidRPr="00304CB9">
        <w:rPr>
          <w:rFonts w:ascii="Verdana" w:hAnsi="Verdana" w:cs="Arial"/>
          <w:sz w:val="16"/>
          <w:szCs w:val="16"/>
          <w:lang w:val="it-IT"/>
        </w:rPr>
        <w:t xml:space="preserve"> See Ávila, P. (2008). </w:t>
      </w:r>
      <w:r w:rsidRPr="00304CB9">
        <w:rPr>
          <w:rFonts w:ascii="Verdana" w:hAnsi="Verdana" w:cs="Arial"/>
          <w:i/>
          <w:sz w:val="16"/>
          <w:szCs w:val="16"/>
          <w:lang w:val="it-IT"/>
        </w:rPr>
        <w:t>A Literacia dos Adultos. Competências-Chave na Sociedade do Conhecimento</w:t>
      </w:r>
      <w:r w:rsidRPr="00304CB9">
        <w:rPr>
          <w:rFonts w:ascii="Verdana" w:hAnsi="Verdana" w:cs="Arial"/>
          <w:sz w:val="16"/>
          <w:szCs w:val="16"/>
          <w:lang w:val="it-IT"/>
        </w:rPr>
        <w:t>. Lisboa: CIES-ISCTE/Celta Editora.</w:t>
      </w:r>
    </w:p>
  </w:footnote>
  <w:footnote w:id="135">
    <w:p w14:paraId="3D7CE5DE" w14:textId="77777777" w:rsidR="00F41B98" w:rsidRPr="00304CB9" w:rsidRDefault="00F41B98" w:rsidP="00F41B98">
      <w:pPr>
        <w:pStyle w:val="FootnoteText"/>
        <w:spacing w:after="0"/>
        <w:ind w:left="0" w:firstLine="0"/>
        <w:jc w:val="left"/>
        <w:rPr>
          <w:rFonts w:ascii="Verdana" w:hAnsi="Verdana" w:cs="Arial"/>
          <w:sz w:val="16"/>
          <w:szCs w:val="16"/>
          <w:lang w:val="pt-BR"/>
        </w:rPr>
      </w:pPr>
      <w:r w:rsidRPr="00304CB9">
        <w:rPr>
          <w:rStyle w:val="FootnoteReference"/>
          <w:rFonts w:ascii="Verdana" w:hAnsi="Verdana" w:cs="Arial"/>
          <w:sz w:val="16"/>
          <w:szCs w:val="16"/>
        </w:rPr>
        <w:footnoteRef/>
      </w:r>
      <w:r w:rsidRPr="00304CB9">
        <w:rPr>
          <w:rFonts w:ascii="Verdana" w:hAnsi="Verdana" w:cs="Arial"/>
          <w:sz w:val="16"/>
          <w:szCs w:val="16"/>
          <w:lang w:val="pt-PT"/>
        </w:rPr>
        <w:t xml:space="preserve"> See Conselho Nacional de Educação (2016). </w:t>
      </w:r>
      <w:r w:rsidRPr="00304CB9">
        <w:rPr>
          <w:rFonts w:ascii="Verdana" w:hAnsi="Verdana" w:cs="Arial"/>
          <w:i/>
          <w:sz w:val="16"/>
          <w:szCs w:val="16"/>
          <w:lang w:val="it-IT"/>
        </w:rPr>
        <w:t>O Estado da Educação 2015</w:t>
      </w:r>
      <w:r w:rsidRPr="00304CB9">
        <w:rPr>
          <w:rFonts w:ascii="Verdana" w:hAnsi="Verdana" w:cs="Arial"/>
          <w:sz w:val="16"/>
          <w:szCs w:val="16"/>
          <w:lang w:val="it-IT"/>
        </w:rPr>
        <w:t>. Lisboa: Conselho Nacional de Eucação.</w:t>
      </w:r>
    </w:p>
  </w:footnote>
  <w:footnote w:id="136">
    <w:p w14:paraId="7B8B43DF" w14:textId="77777777" w:rsidR="00F41B98" w:rsidRPr="00304CB9" w:rsidRDefault="00F41B98" w:rsidP="00F41B98">
      <w:pPr>
        <w:pStyle w:val="FootnoteText"/>
        <w:spacing w:after="0"/>
        <w:ind w:left="0" w:firstLine="0"/>
        <w:jc w:val="left"/>
        <w:rPr>
          <w:rFonts w:ascii="Verdana" w:hAnsi="Verdana" w:cs="Arial"/>
          <w:sz w:val="16"/>
          <w:szCs w:val="16"/>
          <w:lang w:val="en-US"/>
        </w:rPr>
      </w:pPr>
      <w:r w:rsidRPr="00304CB9">
        <w:rPr>
          <w:rStyle w:val="FootnoteReference"/>
          <w:rFonts w:ascii="Verdana" w:hAnsi="Verdana" w:cs="Arial"/>
          <w:sz w:val="16"/>
          <w:szCs w:val="16"/>
        </w:rPr>
        <w:footnoteRef/>
      </w:r>
      <w:r w:rsidRPr="00F32E15">
        <w:rPr>
          <w:rFonts w:ascii="Verdana" w:hAnsi="Verdana" w:cs="Arial"/>
          <w:sz w:val="16"/>
          <w:szCs w:val="16"/>
          <w:lang w:val="en-GB"/>
        </w:rPr>
        <w:t xml:space="preserve"> See data accessed on 29/09/2016 in http://ec.europa.eu/eurostat/statistics-explained/index.php/Lifelong_learning_statistics</w:t>
      </w:r>
    </w:p>
  </w:footnote>
  <w:footnote w:id="137">
    <w:p w14:paraId="28B7B421" w14:textId="77777777" w:rsidR="00F41B98" w:rsidRPr="0092007F" w:rsidRDefault="00F41B98" w:rsidP="00F41B98">
      <w:pPr>
        <w:pStyle w:val="FootnoteText"/>
        <w:spacing w:after="0"/>
        <w:ind w:left="0" w:firstLine="0"/>
        <w:jc w:val="left"/>
        <w:rPr>
          <w:rFonts w:cs="Arial"/>
          <w:sz w:val="16"/>
          <w:szCs w:val="16"/>
          <w:lang w:val="es-ES"/>
        </w:rPr>
      </w:pPr>
      <w:r w:rsidRPr="00304CB9">
        <w:rPr>
          <w:rStyle w:val="FootnoteReference"/>
          <w:rFonts w:ascii="Verdana" w:hAnsi="Verdana" w:cs="Arial"/>
          <w:sz w:val="16"/>
          <w:szCs w:val="16"/>
        </w:rPr>
        <w:footnoteRef/>
      </w:r>
      <w:r w:rsidRPr="00304CB9">
        <w:rPr>
          <w:rFonts w:ascii="Verdana" w:hAnsi="Verdana" w:cs="Arial"/>
          <w:sz w:val="16"/>
          <w:szCs w:val="16"/>
          <w:lang w:val="it-IT"/>
        </w:rPr>
        <w:t xml:space="preserve"> See Instituto Nacional de Estatística (2013). </w:t>
      </w:r>
      <w:r w:rsidRPr="00304CB9">
        <w:rPr>
          <w:rFonts w:ascii="Verdana" w:hAnsi="Verdana" w:cs="Arial"/>
          <w:i/>
          <w:sz w:val="16"/>
          <w:szCs w:val="16"/>
          <w:lang w:val="it-IT"/>
        </w:rPr>
        <w:t>Aprendizagem ao Longo da Vida. Inquérito à Educação e Formação de Adultos 2011</w:t>
      </w:r>
      <w:r w:rsidRPr="00304CB9">
        <w:rPr>
          <w:rFonts w:ascii="Verdana" w:hAnsi="Verdana" w:cs="Arial"/>
          <w:sz w:val="16"/>
          <w:szCs w:val="16"/>
          <w:lang w:val="it-IT"/>
        </w:rPr>
        <w:t xml:space="preserve">. Lisboa: Instituto Nacional de Estatística and Alves et al. (2016). Educação de adultos: aprender sempre. In Silva et al. </w:t>
      </w:r>
      <w:r w:rsidRPr="00304CB9">
        <w:rPr>
          <w:rFonts w:ascii="Verdana" w:hAnsi="Verdana" w:cs="Arial"/>
          <w:sz w:val="16"/>
          <w:szCs w:val="16"/>
          <w:lang w:val="pt-PT"/>
        </w:rPr>
        <w:t xml:space="preserve">(coord.), </w:t>
      </w:r>
      <w:proofErr w:type="gramStart"/>
      <w:r w:rsidRPr="00304CB9">
        <w:rPr>
          <w:rFonts w:ascii="Verdana" w:hAnsi="Verdana" w:cs="Arial"/>
          <w:i/>
          <w:sz w:val="16"/>
          <w:szCs w:val="16"/>
          <w:lang w:val="pt-PT"/>
        </w:rPr>
        <w:t>Pensar</w:t>
      </w:r>
      <w:proofErr w:type="gramEnd"/>
      <w:r w:rsidRPr="00304CB9">
        <w:rPr>
          <w:rFonts w:ascii="Verdana" w:hAnsi="Verdana" w:cs="Arial"/>
          <w:i/>
          <w:sz w:val="16"/>
          <w:szCs w:val="16"/>
          <w:lang w:val="pt-PT"/>
        </w:rPr>
        <w:t xml:space="preserve"> a Educação</w:t>
      </w:r>
      <w:r w:rsidRPr="00304CB9">
        <w:rPr>
          <w:rFonts w:ascii="Verdana" w:hAnsi="Verdana" w:cs="Arial"/>
          <w:sz w:val="16"/>
          <w:szCs w:val="16"/>
          <w:lang w:val="pt-PT"/>
        </w:rPr>
        <w:t xml:space="preserve">. </w:t>
      </w:r>
      <w:r w:rsidRPr="00304CB9">
        <w:rPr>
          <w:rFonts w:ascii="Verdana" w:hAnsi="Verdana" w:cs="Arial"/>
          <w:i/>
          <w:sz w:val="16"/>
          <w:szCs w:val="16"/>
          <w:lang w:val="es-ES"/>
        </w:rPr>
        <w:t>Temas Sectoriais</w:t>
      </w:r>
      <w:r w:rsidRPr="00304CB9">
        <w:rPr>
          <w:rFonts w:ascii="Verdana" w:hAnsi="Verdana" w:cs="Arial"/>
          <w:sz w:val="16"/>
          <w:szCs w:val="16"/>
          <w:lang w:val="es-ES"/>
        </w:rPr>
        <w:t>. Lisboa: EDUCA, pp. 151-180.</w:t>
      </w:r>
    </w:p>
  </w:footnote>
  <w:footnote w:id="138">
    <w:p w14:paraId="2A86220B" w14:textId="77777777" w:rsidR="00F41B98" w:rsidRPr="00F32E15" w:rsidRDefault="00F41B98" w:rsidP="00F41B98">
      <w:pPr>
        <w:spacing w:after="0"/>
        <w:jc w:val="left"/>
        <w:rPr>
          <w:rFonts w:ascii="Verdana" w:hAnsi="Verdana" w:cs="Arial"/>
          <w:sz w:val="16"/>
          <w:szCs w:val="16"/>
          <w:lang w:val="en-GB"/>
        </w:rPr>
      </w:pPr>
      <w:r w:rsidRPr="00304CB9">
        <w:rPr>
          <w:rStyle w:val="FootnoteReference"/>
          <w:rFonts w:ascii="Verdana" w:hAnsi="Verdana" w:cs="Arial"/>
          <w:sz w:val="16"/>
          <w:szCs w:val="16"/>
        </w:rPr>
        <w:footnoteRef/>
      </w:r>
      <w:r w:rsidRPr="00304CB9">
        <w:rPr>
          <w:rFonts w:ascii="Verdana" w:hAnsi="Verdana" w:cs="Arial"/>
          <w:sz w:val="16"/>
          <w:szCs w:val="16"/>
          <w:lang w:val="pt-PT"/>
        </w:rPr>
        <w:t xml:space="preserve"> See Lima, L. C. (2008). A Educação de Adultos em Portugal (1974-2004). </w:t>
      </w:r>
      <w:r w:rsidRPr="00304CB9">
        <w:rPr>
          <w:rFonts w:ascii="Verdana" w:hAnsi="Verdana" w:cs="Arial"/>
          <w:i/>
          <w:sz w:val="16"/>
          <w:szCs w:val="16"/>
          <w:lang w:val="it-IT"/>
        </w:rPr>
        <w:t>In</w:t>
      </w:r>
      <w:r w:rsidRPr="00304CB9">
        <w:rPr>
          <w:rFonts w:ascii="Verdana" w:hAnsi="Verdana" w:cs="Arial"/>
          <w:sz w:val="16"/>
          <w:szCs w:val="16"/>
          <w:lang w:val="it-IT"/>
        </w:rPr>
        <w:t xml:space="preserve"> Rui Canário e Belmiro Cabrito, Orgs., </w:t>
      </w:r>
      <w:r w:rsidRPr="00304CB9">
        <w:rPr>
          <w:rFonts w:ascii="Verdana" w:hAnsi="Verdana" w:cs="Arial"/>
          <w:i/>
          <w:sz w:val="16"/>
          <w:szCs w:val="16"/>
          <w:lang w:val="it-IT"/>
        </w:rPr>
        <w:t xml:space="preserve">Educação e Formação de Adultos. </w:t>
      </w:r>
      <w:r w:rsidRPr="00F32E15">
        <w:rPr>
          <w:rFonts w:ascii="Verdana" w:hAnsi="Verdana" w:cs="Arial"/>
          <w:i/>
          <w:sz w:val="16"/>
          <w:szCs w:val="16"/>
          <w:lang w:val="en-GB"/>
        </w:rPr>
        <w:t>Mutações e Convergências</w:t>
      </w:r>
      <w:r w:rsidRPr="00F32E15">
        <w:rPr>
          <w:rFonts w:ascii="Verdana" w:hAnsi="Verdana" w:cs="Arial"/>
          <w:sz w:val="16"/>
          <w:szCs w:val="16"/>
          <w:lang w:val="en-GB"/>
        </w:rPr>
        <w:t xml:space="preserve">. Lisboa: Educa, pp. 31-60. This discontinuous trend in adult education policy in Portugal is very different from what can be observed in Central European countries, such as Germany and France, in which adult education is considered a pillar of the education and training systems, and in the Nordic countries, in which for instance non-formal/liberal adult education has been supported by State policies for several decades. Authors have claimed that continuous policies in Nordic countries justify the high adults’ participation rates in lifelong learning – see Desjardin, R. Rubenson, K. &amp; Milan, M. (2006). </w:t>
      </w:r>
      <w:r w:rsidRPr="00F32E15">
        <w:rPr>
          <w:rFonts w:ascii="Verdana" w:hAnsi="Verdana" w:cs="Arial"/>
          <w:i/>
          <w:sz w:val="16"/>
          <w:szCs w:val="16"/>
          <w:lang w:val="en-GB"/>
        </w:rPr>
        <w:t>Unequal Chances to Participate in Adult Learning: International Perspectives</w:t>
      </w:r>
      <w:r w:rsidRPr="00F32E15">
        <w:rPr>
          <w:rFonts w:ascii="Verdana" w:hAnsi="Verdana" w:cs="Arial"/>
          <w:sz w:val="16"/>
          <w:szCs w:val="16"/>
          <w:lang w:val="en-GB"/>
        </w:rPr>
        <w:t xml:space="preserve">. Paris: UNESCO-IIEP and Rubenson, K. &amp; Desjardins, R. (2009). The impact of welfare state regimes on barriers to participation in adult education. A bounded agency model. </w:t>
      </w:r>
      <w:r w:rsidRPr="00F32E15">
        <w:rPr>
          <w:rFonts w:ascii="Verdana" w:hAnsi="Verdana" w:cs="Arial"/>
          <w:i/>
          <w:sz w:val="16"/>
          <w:szCs w:val="16"/>
          <w:lang w:val="en-GB"/>
        </w:rPr>
        <w:t>Adult Education Quarterly</w:t>
      </w:r>
      <w:r w:rsidRPr="00F32E15">
        <w:rPr>
          <w:rFonts w:ascii="Verdana" w:hAnsi="Verdana" w:cs="Arial"/>
          <w:sz w:val="16"/>
          <w:szCs w:val="16"/>
          <w:lang w:val="en-GB"/>
        </w:rPr>
        <w:t>, vol. 59, n</w:t>
      </w:r>
      <w:proofErr w:type="gramStart"/>
      <w:r w:rsidRPr="00F32E15">
        <w:rPr>
          <w:rFonts w:ascii="Verdana" w:hAnsi="Verdana" w:cs="Arial"/>
          <w:sz w:val="16"/>
          <w:szCs w:val="16"/>
          <w:lang w:val="en-GB"/>
        </w:rPr>
        <w:t>.º</w:t>
      </w:r>
      <w:proofErr w:type="gramEnd"/>
      <w:r w:rsidRPr="00F32E15">
        <w:rPr>
          <w:rFonts w:ascii="Verdana" w:hAnsi="Verdana" w:cs="Arial"/>
          <w:sz w:val="16"/>
          <w:szCs w:val="16"/>
          <w:lang w:val="en-GB"/>
        </w:rPr>
        <w:t xml:space="preserve"> 3, pp. 187-207.</w:t>
      </w:r>
    </w:p>
  </w:footnote>
  <w:footnote w:id="139">
    <w:p w14:paraId="76D4C17B" w14:textId="77777777" w:rsidR="00F41B98" w:rsidRPr="00304CB9" w:rsidRDefault="00F41B98" w:rsidP="00F41B98">
      <w:pPr>
        <w:pStyle w:val="FootnoteText"/>
        <w:spacing w:after="0"/>
        <w:ind w:left="0" w:firstLine="0"/>
        <w:jc w:val="left"/>
        <w:rPr>
          <w:rFonts w:ascii="Verdana" w:hAnsi="Verdana" w:cs="Arial"/>
          <w:sz w:val="16"/>
          <w:szCs w:val="16"/>
          <w:lang w:val="en-US"/>
        </w:rPr>
      </w:pPr>
      <w:r w:rsidRPr="00304CB9">
        <w:rPr>
          <w:rStyle w:val="FootnoteReference"/>
          <w:rFonts w:ascii="Verdana" w:hAnsi="Verdana" w:cs="Arial"/>
          <w:sz w:val="16"/>
          <w:szCs w:val="16"/>
        </w:rPr>
        <w:footnoteRef/>
      </w:r>
      <w:r w:rsidRPr="00F32E15">
        <w:rPr>
          <w:rFonts w:ascii="Verdana" w:hAnsi="Verdana" w:cs="Arial"/>
          <w:sz w:val="16"/>
          <w:szCs w:val="16"/>
          <w:lang w:val="en-GB"/>
        </w:rPr>
        <w:t xml:space="preserve"> Antunes, F. (2016). Economising education: from the silent revolution to rethinking education. A new moment of Europeanisation of education? </w:t>
      </w:r>
      <w:r w:rsidRPr="00F32E15">
        <w:rPr>
          <w:rFonts w:ascii="Verdana" w:hAnsi="Verdana" w:cs="Arial"/>
          <w:i/>
          <w:sz w:val="16"/>
          <w:szCs w:val="16"/>
          <w:lang w:val="en-GB"/>
        </w:rPr>
        <w:t>European Educational and Research Journal</w:t>
      </w:r>
      <w:r w:rsidRPr="00F32E15">
        <w:rPr>
          <w:rFonts w:ascii="Verdana" w:hAnsi="Verdana" w:cs="Arial"/>
          <w:sz w:val="16"/>
          <w:szCs w:val="16"/>
          <w:lang w:val="en-GB"/>
        </w:rPr>
        <w:t>, vol. 15, no. 4, pp. 410-427.</w:t>
      </w:r>
    </w:p>
  </w:footnote>
  <w:footnote w:id="140">
    <w:p w14:paraId="5B0F8272" w14:textId="77777777" w:rsidR="00F41B98" w:rsidRPr="00304CB9" w:rsidRDefault="00F41B98" w:rsidP="00F41B98">
      <w:pPr>
        <w:pStyle w:val="FootnoteText"/>
        <w:spacing w:after="0"/>
        <w:ind w:left="0" w:firstLine="0"/>
        <w:jc w:val="left"/>
        <w:rPr>
          <w:rFonts w:ascii="Verdana" w:hAnsi="Verdana" w:cs="Arial"/>
          <w:sz w:val="16"/>
          <w:szCs w:val="16"/>
          <w:lang w:val="pt-BR"/>
        </w:rPr>
      </w:pPr>
      <w:r w:rsidRPr="00304CB9">
        <w:rPr>
          <w:rStyle w:val="FootnoteReference"/>
          <w:rFonts w:ascii="Verdana" w:hAnsi="Verdana" w:cs="Arial"/>
          <w:sz w:val="16"/>
          <w:szCs w:val="16"/>
        </w:rPr>
        <w:footnoteRef/>
      </w:r>
      <w:r w:rsidRPr="00304CB9">
        <w:rPr>
          <w:rFonts w:ascii="Verdana" w:hAnsi="Verdana" w:cs="Arial"/>
          <w:sz w:val="16"/>
          <w:szCs w:val="16"/>
          <w:lang w:val="it-IT"/>
        </w:rPr>
        <w:t xml:space="preserve"> See Instituto Nacional de Estatística (2013). </w:t>
      </w:r>
      <w:r w:rsidRPr="00304CB9">
        <w:rPr>
          <w:rFonts w:ascii="Verdana" w:hAnsi="Verdana" w:cs="Arial"/>
          <w:i/>
          <w:sz w:val="16"/>
          <w:szCs w:val="16"/>
          <w:lang w:val="it-IT"/>
        </w:rPr>
        <w:t>Aprendizagem ao Longo da Vida. Inquérito à Educação e Formação de Adultos 2011</w:t>
      </w:r>
      <w:r w:rsidRPr="00304CB9">
        <w:rPr>
          <w:rFonts w:ascii="Verdana" w:hAnsi="Verdana" w:cs="Arial"/>
          <w:sz w:val="16"/>
          <w:szCs w:val="16"/>
          <w:lang w:val="it-IT"/>
        </w:rPr>
        <w:t>. Lisboa: Instituto Nacional de Estatística.</w:t>
      </w:r>
    </w:p>
  </w:footnote>
  <w:footnote w:id="141">
    <w:p w14:paraId="7D0C2581" w14:textId="77777777" w:rsidR="00F41B98" w:rsidRPr="0092007F" w:rsidRDefault="00F41B98" w:rsidP="00F41B98">
      <w:pPr>
        <w:pStyle w:val="FootnoteText"/>
        <w:spacing w:after="0"/>
        <w:ind w:left="0" w:firstLine="0"/>
        <w:jc w:val="left"/>
        <w:rPr>
          <w:rFonts w:cs="Arial"/>
          <w:sz w:val="16"/>
          <w:szCs w:val="16"/>
          <w:lang w:val="pt-BR"/>
        </w:rPr>
      </w:pPr>
      <w:r w:rsidRPr="00304CB9">
        <w:rPr>
          <w:rStyle w:val="FootnoteReference"/>
          <w:rFonts w:ascii="Verdana" w:hAnsi="Verdana" w:cs="Arial"/>
          <w:sz w:val="16"/>
          <w:szCs w:val="16"/>
        </w:rPr>
        <w:footnoteRef/>
      </w:r>
      <w:r w:rsidRPr="00304CB9">
        <w:rPr>
          <w:rFonts w:ascii="Verdana" w:hAnsi="Verdana" w:cs="Arial"/>
          <w:sz w:val="16"/>
          <w:szCs w:val="16"/>
          <w:lang w:val="es-ES"/>
        </w:rPr>
        <w:t xml:space="preserve"> See Alves et al. (2016). </w:t>
      </w:r>
      <w:r w:rsidRPr="00304CB9">
        <w:rPr>
          <w:rFonts w:ascii="Verdana" w:hAnsi="Verdana" w:cs="Arial"/>
          <w:sz w:val="16"/>
          <w:szCs w:val="16"/>
          <w:lang w:val="it-IT"/>
        </w:rPr>
        <w:t xml:space="preserve">Educação de adultos: aprender sempre. </w:t>
      </w:r>
      <w:r w:rsidRPr="00304CB9">
        <w:rPr>
          <w:rFonts w:ascii="Verdana" w:hAnsi="Verdana" w:cs="Arial"/>
          <w:sz w:val="16"/>
          <w:szCs w:val="16"/>
          <w:lang w:val="pt-PT"/>
        </w:rPr>
        <w:t xml:space="preserve">In M. Silva et al. (coord.), </w:t>
      </w:r>
      <w:proofErr w:type="gramStart"/>
      <w:r w:rsidRPr="00304CB9">
        <w:rPr>
          <w:rFonts w:ascii="Verdana" w:hAnsi="Verdana" w:cs="Arial"/>
          <w:i/>
          <w:sz w:val="16"/>
          <w:szCs w:val="16"/>
          <w:lang w:val="pt-PT"/>
        </w:rPr>
        <w:t>Pensar</w:t>
      </w:r>
      <w:proofErr w:type="gramEnd"/>
      <w:r w:rsidRPr="00304CB9">
        <w:rPr>
          <w:rFonts w:ascii="Verdana" w:hAnsi="Verdana" w:cs="Arial"/>
          <w:i/>
          <w:sz w:val="16"/>
          <w:szCs w:val="16"/>
          <w:lang w:val="pt-PT"/>
        </w:rPr>
        <w:t xml:space="preserve"> a Educação. Temas Sectoriais</w:t>
      </w:r>
      <w:r w:rsidRPr="00304CB9">
        <w:rPr>
          <w:rFonts w:ascii="Verdana" w:hAnsi="Verdana" w:cs="Arial"/>
          <w:sz w:val="16"/>
          <w:szCs w:val="16"/>
          <w:lang w:val="pt-PT"/>
        </w:rPr>
        <w:t xml:space="preserve">. </w:t>
      </w:r>
      <w:r w:rsidRPr="00304CB9">
        <w:rPr>
          <w:rFonts w:ascii="Verdana" w:hAnsi="Verdana" w:cs="Arial"/>
          <w:sz w:val="16"/>
          <w:szCs w:val="16"/>
          <w:lang w:val="es-ES"/>
        </w:rPr>
        <w:t>Lisboa: EDUCA, pp. 151-180.</w:t>
      </w:r>
    </w:p>
  </w:footnote>
  <w:footnote w:id="142">
    <w:p w14:paraId="37B49B69" w14:textId="77777777" w:rsidR="00F41B98" w:rsidRPr="00304CB9" w:rsidRDefault="00F41B98" w:rsidP="00F41B98">
      <w:pPr>
        <w:pStyle w:val="FootnoteText"/>
        <w:spacing w:after="0"/>
        <w:ind w:left="0" w:firstLine="0"/>
        <w:jc w:val="left"/>
        <w:rPr>
          <w:rFonts w:ascii="Verdana" w:hAnsi="Verdana" w:cs="Arial"/>
          <w:sz w:val="16"/>
          <w:szCs w:val="16"/>
          <w:lang w:val="pt-BR"/>
        </w:rPr>
      </w:pPr>
      <w:r w:rsidRPr="00304CB9">
        <w:rPr>
          <w:rStyle w:val="FootnoteReference"/>
          <w:rFonts w:ascii="Verdana" w:hAnsi="Verdana" w:cs="Arial"/>
          <w:sz w:val="16"/>
          <w:szCs w:val="16"/>
        </w:rPr>
        <w:footnoteRef/>
      </w:r>
      <w:r w:rsidRPr="00304CB9">
        <w:rPr>
          <w:rFonts w:ascii="Verdana" w:hAnsi="Verdana" w:cs="Arial"/>
          <w:sz w:val="16"/>
          <w:szCs w:val="16"/>
          <w:lang w:val="pt-PT"/>
        </w:rPr>
        <w:t xml:space="preserve"> See Lima, L. C. (2008). A Educação de Adultos em Portugal (1974-2004). </w:t>
      </w:r>
      <w:r w:rsidRPr="00304CB9">
        <w:rPr>
          <w:rFonts w:ascii="Verdana" w:hAnsi="Verdana" w:cs="Arial"/>
          <w:i/>
          <w:sz w:val="16"/>
          <w:szCs w:val="16"/>
          <w:lang w:val="pt-PT"/>
        </w:rPr>
        <w:t>In</w:t>
      </w:r>
      <w:r w:rsidRPr="00304CB9">
        <w:rPr>
          <w:rFonts w:ascii="Verdana" w:hAnsi="Verdana" w:cs="Arial"/>
          <w:sz w:val="16"/>
          <w:szCs w:val="16"/>
          <w:lang w:val="pt-PT"/>
        </w:rPr>
        <w:t xml:space="preserve"> R. Canário and B. Cabrito (orgs.), </w:t>
      </w:r>
      <w:r w:rsidRPr="00304CB9">
        <w:rPr>
          <w:rFonts w:ascii="Verdana" w:hAnsi="Verdana" w:cs="Arial"/>
          <w:i/>
          <w:sz w:val="16"/>
          <w:szCs w:val="16"/>
          <w:lang w:val="pt-PT"/>
        </w:rPr>
        <w:t>Educação e Formação de Adultos. Mutações e Convergências</w:t>
      </w:r>
      <w:r w:rsidRPr="00304CB9">
        <w:rPr>
          <w:rFonts w:ascii="Verdana" w:hAnsi="Verdana" w:cs="Arial"/>
          <w:sz w:val="16"/>
          <w:szCs w:val="16"/>
          <w:lang w:val="pt-PT"/>
        </w:rPr>
        <w:t>. Lisboa</w:t>
      </w:r>
      <w:proofErr w:type="gramStart"/>
      <w:r w:rsidRPr="00304CB9">
        <w:rPr>
          <w:rFonts w:ascii="Verdana" w:hAnsi="Verdana" w:cs="Arial"/>
          <w:sz w:val="16"/>
          <w:szCs w:val="16"/>
          <w:lang w:val="pt-PT"/>
        </w:rPr>
        <w:t>: Educa</w:t>
      </w:r>
      <w:proofErr w:type="gramEnd"/>
      <w:r w:rsidRPr="00304CB9">
        <w:rPr>
          <w:rFonts w:ascii="Verdana" w:hAnsi="Verdana" w:cs="Arial"/>
          <w:sz w:val="16"/>
          <w:szCs w:val="16"/>
          <w:lang w:val="pt-PT"/>
        </w:rPr>
        <w:t xml:space="preserve">, pp. 31-60, Canário, R. (2013). </w:t>
      </w:r>
      <w:r w:rsidRPr="00304CB9">
        <w:rPr>
          <w:rFonts w:ascii="Verdana" w:hAnsi="Verdana" w:cs="Arial"/>
          <w:i/>
          <w:sz w:val="16"/>
          <w:szCs w:val="16"/>
          <w:lang w:val="it-IT"/>
        </w:rPr>
        <w:t>Educação de Adultos. Um Campo, uma Problemática</w:t>
      </w:r>
      <w:r w:rsidRPr="00304CB9">
        <w:rPr>
          <w:rFonts w:ascii="Verdana" w:hAnsi="Verdana" w:cs="Arial"/>
          <w:sz w:val="16"/>
          <w:szCs w:val="16"/>
          <w:lang w:val="it-IT"/>
        </w:rPr>
        <w:t xml:space="preserve">. Lisboa: EDUCA, Lima, L. C. &amp; Guimarães, P. (2015). </w:t>
      </w:r>
      <w:r w:rsidRPr="00F32E15">
        <w:rPr>
          <w:rFonts w:ascii="Verdana" w:hAnsi="Verdana" w:cs="Arial"/>
          <w:sz w:val="16"/>
          <w:szCs w:val="16"/>
          <w:lang w:val="en-GB"/>
        </w:rPr>
        <w:t xml:space="preserve">Portugal: policy and adult education. In T. Corner (ed.), </w:t>
      </w:r>
      <w:r w:rsidRPr="00F32E15">
        <w:rPr>
          <w:rFonts w:ascii="Verdana" w:hAnsi="Verdana" w:cs="Arial"/>
          <w:i/>
          <w:sz w:val="16"/>
          <w:szCs w:val="16"/>
          <w:lang w:val="en-GB"/>
        </w:rPr>
        <w:t>Education in the European Union Pre-2003-Member States</w:t>
      </w:r>
      <w:r w:rsidRPr="00F32E15">
        <w:rPr>
          <w:rFonts w:ascii="Verdana" w:hAnsi="Verdana" w:cs="Arial"/>
          <w:sz w:val="16"/>
          <w:szCs w:val="16"/>
          <w:lang w:val="en-GB"/>
        </w:rPr>
        <w:t xml:space="preserve">. </w:t>
      </w:r>
      <w:r w:rsidRPr="00304CB9">
        <w:rPr>
          <w:rFonts w:ascii="Verdana" w:hAnsi="Verdana" w:cs="Arial"/>
          <w:sz w:val="16"/>
          <w:szCs w:val="16"/>
          <w:lang w:val="it-IT"/>
        </w:rPr>
        <w:t xml:space="preserve">London: Bloomsbury, pp. 245-263 and Barros, R. (2016). Da conceção à implosão da nova política de educação e formação de adultos (EFA) em Portugal: e agora tudo o vento levou? </w:t>
      </w:r>
      <w:r w:rsidRPr="00304CB9">
        <w:rPr>
          <w:rFonts w:ascii="Verdana" w:hAnsi="Verdana" w:cs="Arial"/>
          <w:i/>
          <w:sz w:val="16"/>
          <w:szCs w:val="16"/>
          <w:lang w:val="pt-PT"/>
        </w:rPr>
        <w:t>Laplage em Revista</w:t>
      </w:r>
      <w:r w:rsidRPr="00304CB9">
        <w:rPr>
          <w:rFonts w:ascii="Verdana" w:hAnsi="Verdana" w:cs="Arial"/>
          <w:sz w:val="16"/>
          <w:szCs w:val="16"/>
          <w:lang w:val="pt-PT"/>
        </w:rPr>
        <w:t>, vol. 2, n.º 1, pp. 63-86, among others.</w:t>
      </w:r>
    </w:p>
  </w:footnote>
  <w:footnote w:id="143">
    <w:p w14:paraId="26BADA0C" w14:textId="77777777" w:rsidR="00F41B98" w:rsidRPr="00304CB9" w:rsidRDefault="00F41B98" w:rsidP="00F41B98">
      <w:pPr>
        <w:pStyle w:val="Default"/>
        <w:rPr>
          <w:rFonts w:cs="Arial"/>
          <w:sz w:val="16"/>
          <w:szCs w:val="16"/>
          <w:lang w:val="it-IT"/>
        </w:rPr>
      </w:pPr>
      <w:r w:rsidRPr="00304CB9">
        <w:rPr>
          <w:rStyle w:val="FootnoteReference"/>
          <w:rFonts w:cs="Arial"/>
          <w:sz w:val="16"/>
          <w:szCs w:val="16"/>
        </w:rPr>
        <w:footnoteRef/>
      </w:r>
      <w:r w:rsidRPr="00304CB9">
        <w:rPr>
          <w:rFonts w:cs="Arial"/>
          <w:sz w:val="16"/>
          <w:szCs w:val="16"/>
          <w:lang w:val="pt-PT"/>
        </w:rPr>
        <w:t xml:space="preserve"> See Ávila, P. (2008). </w:t>
      </w:r>
      <w:r w:rsidRPr="00304CB9">
        <w:rPr>
          <w:rFonts w:cs="Arial"/>
          <w:i/>
          <w:sz w:val="16"/>
          <w:szCs w:val="16"/>
          <w:lang w:val="it-IT"/>
        </w:rPr>
        <w:t>A Literacia dos Adultos. Competências-Chave na Sociedade do Conhecimento</w:t>
      </w:r>
      <w:r w:rsidRPr="00304CB9">
        <w:rPr>
          <w:rFonts w:cs="Arial"/>
          <w:sz w:val="16"/>
          <w:szCs w:val="16"/>
          <w:lang w:val="it-IT"/>
        </w:rPr>
        <w:t xml:space="preserve">. Lisboa: CIES-ISCTE/Celta Editora and Cavaco, C. (2016). </w:t>
      </w:r>
      <w:r w:rsidRPr="00304CB9">
        <w:rPr>
          <w:rFonts w:cs="Arial"/>
          <w:color w:val="auto"/>
          <w:sz w:val="16"/>
          <w:szCs w:val="16"/>
          <w:lang w:val="it-IT"/>
        </w:rPr>
        <w:t xml:space="preserve">Políticas públicas de educação de adultos em Portugal – a invisibilidade do analfabetismo. </w:t>
      </w:r>
      <w:r w:rsidRPr="00304CB9">
        <w:rPr>
          <w:rFonts w:cs="Arial"/>
          <w:i/>
          <w:sz w:val="16"/>
          <w:szCs w:val="16"/>
          <w:lang w:val="it-IT"/>
        </w:rPr>
        <w:t>Laplage em Revista</w:t>
      </w:r>
      <w:r w:rsidRPr="00304CB9">
        <w:rPr>
          <w:rFonts w:cs="Arial"/>
          <w:sz w:val="16"/>
          <w:szCs w:val="16"/>
          <w:lang w:val="it-IT"/>
        </w:rPr>
        <w:t xml:space="preserve">, vol. 2, </w:t>
      </w:r>
      <w:proofErr w:type="gramStart"/>
      <w:r w:rsidRPr="00304CB9">
        <w:rPr>
          <w:rFonts w:cs="Arial"/>
          <w:sz w:val="16"/>
          <w:szCs w:val="16"/>
          <w:lang w:val="it-IT"/>
        </w:rPr>
        <w:t>n.º</w:t>
      </w:r>
      <w:proofErr w:type="gramEnd"/>
      <w:r w:rsidRPr="00304CB9">
        <w:rPr>
          <w:rFonts w:cs="Arial"/>
          <w:sz w:val="16"/>
          <w:szCs w:val="16"/>
          <w:lang w:val="it-IT"/>
        </w:rPr>
        <w:t xml:space="preserve"> 1, pp. 51-62.</w:t>
      </w:r>
    </w:p>
  </w:footnote>
  <w:footnote w:id="144">
    <w:p w14:paraId="694BBC19" w14:textId="77777777" w:rsidR="00F41B98" w:rsidRPr="0092007F" w:rsidRDefault="00F41B98" w:rsidP="00F41B98">
      <w:pPr>
        <w:pStyle w:val="FootnoteText"/>
        <w:spacing w:after="0"/>
        <w:ind w:left="0" w:firstLine="0"/>
        <w:jc w:val="left"/>
        <w:rPr>
          <w:rFonts w:cs="Arial"/>
          <w:sz w:val="16"/>
          <w:szCs w:val="16"/>
          <w:lang w:val="en-US"/>
        </w:rPr>
      </w:pPr>
      <w:r w:rsidRPr="00304CB9">
        <w:rPr>
          <w:rStyle w:val="FootnoteReference"/>
          <w:rFonts w:ascii="Verdana" w:hAnsi="Verdana" w:cs="Arial"/>
          <w:sz w:val="16"/>
          <w:szCs w:val="16"/>
        </w:rPr>
        <w:footnoteRef/>
      </w:r>
      <w:r w:rsidRPr="00304CB9">
        <w:rPr>
          <w:rFonts w:ascii="Verdana" w:hAnsi="Verdana" w:cs="Arial"/>
          <w:sz w:val="16"/>
          <w:szCs w:val="16"/>
          <w:lang w:val="it-IT"/>
        </w:rPr>
        <w:t xml:space="preserve"> See </w:t>
      </w:r>
      <w:r w:rsidRPr="00304CB9">
        <w:rPr>
          <w:rFonts w:ascii="Verdana" w:hAnsi="Verdana" w:cs="Arial"/>
          <w:color w:val="000000" w:themeColor="text1"/>
          <w:sz w:val="16"/>
          <w:szCs w:val="16"/>
          <w:lang w:val="it-IT"/>
        </w:rPr>
        <w:t xml:space="preserve">Guimarães, P. &amp; Barros, R. (2015). A nova política pública de educação e formação de adultos em Portugal. </w:t>
      </w:r>
      <w:r w:rsidRPr="00304CB9">
        <w:rPr>
          <w:rFonts w:ascii="Verdana" w:hAnsi="Verdana" w:cs="Arial"/>
          <w:color w:val="000000" w:themeColor="text1"/>
          <w:sz w:val="16"/>
          <w:szCs w:val="16"/>
          <w:lang w:val="pt-PT"/>
        </w:rPr>
        <w:t xml:space="preserve">Os educadores de adultos numa encruzilhada? </w:t>
      </w:r>
      <w:r w:rsidRPr="00304CB9">
        <w:rPr>
          <w:rFonts w:ascii="Verdana" w:hAnsi="Verdana" w:cs="Arial"/>
          <w:i/>
          <w:color w:val="000000" w:themeColor="text1"/>
          <w:sz w:val="16"/>
          <w:szCs w:val="16"/>
          <w:lang w:val="pt-PT"/>
        </w:rPr>
        <w:t>Educação &amp; Sociedade</w:t>
      </w:r>
      <w:r w:rsidRPr="00304CB9">
        <w:rPr>
          <w:rFonts w:ascii="Verdana" w:hAnsi="Verdana" w:cs="Arial"/>
          <w:color w:val="000000" w:themeColor="text1"/>
          <w:sz w:val="16"/>
          <w:szCs w:val="16"/>
          <w:lang w:val="pt-PT"/>
        </w:rPr>
        <w:t>, v. 36, n.º 131, pp. 391-406</w:t>
      </w:r>
      <w:r w:rsidRPr="00304CB9">
        <w:rPr>
          <w:rFonts w:ascii="Verdana" w:hAnsi="Verdana" w:cs="Arial"/>
          <w:sz w:val="16"/>
          <w:szCs w:val="16"/>
          <w:lang w:val="pt-PT"/>
        </w:rPr>
        <w:t xml:space="preserve"> and </w:t>
      </w:r>
      <w:r w:rsidRPr="00304CB9">
        <w:rPr>
          <w:rFonts w:ascii="Verdana" w:hAnsi="Verdana" w:cs="Arial"/>
          <w:color w:val="191919"/>
          <w:sz w:val="16"/>
          <w:szCs w:val="16"/>
          <w:lang w:val="pt-PT"/>
        </w:rPr>
        <w:t xml:space="preserve">Loureiro, A. &amp; Caria, T. (2013). </w:t>
      </w:r>
      <w:r w:rsidRPr="00304CB9">
        <w:rPr>
          <w:rFonts w:ascii="Verdana" w:hAnsi="Verdana" w:cs="Arial"/>
          <w:color w:val="191919"/>
          <w:sz w:val="16"/>
          <w:szCs w:val="16"/>
          <w:lang w:val="en-US"/>
        </w:rPr>
        <w:t xml:space="preserve">To learn and to construct knowledge in the context of the work with adult education and training: a Portuguese case study”, </w:t>
      </w:r>
      <w:r w:rsidRPr="00304CB9">
        <w:rPr>
          <w:rFonts w:ascii="Verdana" w:hAnsi="Verdana" w:cs="Arial"/>
          <w:i/>
          <w:color w:val="191919"/>
          <w:sz w:val="16"/>
          <w:szCs w:val="16"/>
          <w:lang w:val="en-US"/>
        </w:rPr>
        <w:t>International Journal of Lifelong Education</w:t>
      </w:r>
      <w:r w:rsidRPr="00304CB9">
        <w:rPr>
          <w:rFonts w:ascii="Verdana" w:hAnsi="Verdana" w:cs="Arial"/>
          <w:color w:val="191919"/>
          <w:sz w:val="16"/>
          <w:szCs w:val="16"/>
          <w:lang w:val="en-US"/>
        </w:rPr>
        <w:t xml:space="preserve">, Vol. 32, nº 2, pp. 149-164 and Loureiro, A.; Cristóvão, A. &amp; Caria, T. (2013). Between external prescription and local practice: the uses of official knowledge by adult education professionals in Portugal, </w:t>
      </w:r>
      <w:r w:rsidRPr="00304CB9">
        <w:rPr>
          <w:rFonts w:ascii="Verdana" w:hAnsi="Verdana" w:cs="Arial"/>
          <w:i/>
          <w:color w:val="191919"/>
          <w:sz w:val="16"/>
          <w:szCs w:val="16"/>
          <w:lang w:val="en-US"/>
        </w:rPr>
        <w:t>European Journal for Research on the Education and Learning of Adults (RELA)</w:t>
      </w:r>
      <w:r w:rsidRPr="00304CB9">
        <w:rPr>
          <w:rFonts w:ascii="Verdana" w:hAnsi="Verdana" w:cs="Arial"/>
          <w:color w:val="191919"/>
          <w:sz w:val="16"/>
          <w:szCs w:val="16"/>
          <w:lang w:val="en-US"/>
        </w:rPr>
        <w:t>, vol 4, n.º 1 , pp. 65-80.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95" w:type="dxa"/>
      <w:tblBorders>
        <w:bottom w:val="single" w:sz="4" w:space="0" w:color="7F7F7F"/>
      </w:tblBorders>
      <w:tblLayout w:type="fixed"/>
      <w:tblCellMar>
        <w:left w:w="0" w:type="dxa"/>
        <w:right w:w="0" w:type="dxa"/>
      </w:tblCellMar>
      <w:tblLook w:val="0000" w:firstRow="0" w:lastRow="0" w:firstColumn="0" w:lastColumn="0" w:noHBand="0" w:noVBand="0"/>
    </w:tblPr>
    <w:tblGrid>
      <w:gridCol w:w="1117"/>
      <w:gridCol w:w="6532"/>
      <w:gridCol w:w="1146"/>
    </w:tblGrid>
    <w:tr w:rsidR="00F41B98" w:rsidRPr="00F32E15" w14:paraId="6906DBF5" w14:textId="77777777" w:rsidTr="00030154">
      <w:trPr>
        <w:trHeight w:val="1597"/>
      </w:trPr>
      <w:tc>
        <w:tcPr>
          <w:tcW w:w="1117" w:type="dxa"/>
        </w:tcPr>
        <w:p w14:paraId="6906DBEE" w14:textId="77777777" w:rsidR="00F41B98" w:rsidRDefault="00F41B98" w:rsidP="00ED7DE3">
          <w:pPr>
            <w:pStyle w:val="ZCom"/>
          </w:pPr>
          <w:r>
            <w:rPr>
              <w:b/>
              <w:sz w:val="36"/>
              <w:szCs w:val="36"/>
            </w:rPr>
            <w:br w:type="page"/>
          </w:r>
          <w:r>
            <w:rPr>
              <w:b/>
              <w:sz w:val="36"/>
              <w:szCs w:val="36"/>
            </w:rPr>
            <w:br w:type="page"/>
          </w:r>
          <w:r w:rsidRPr="00B9193E">
            <w:rPr>
              <w:rFonts w:ascii="Verdana" w:hAnsi="Verdana"/>
              <w:b/>
              <w:color w:val="333333"/>
              <w:sz w:val="36"/>
              <w:szCs w:val="36"/>
            </w:rPr>
            <w:br w:type="page"/>
          </w:r>
        </w:p>
      </w:tc>
      <w:tc>
        <w:tcPr>
          <w:tcW w:w="6532" w:type="dxa"/>
          <w:vAlign w:val="center"/>
        </w:tcPr>
        <w:p w14:paraId="6906DBEF" w14:textId="77777777" w:rsidR="00F41B98" w:rsidRDefault="00F41B98" w:rsidP="007A4813">
          <w:pPr>
            <w:pStyle w:val="ZDGName"/>
            <w:jc w:val="center"/>
            <w:rPr>
              <w:rFonts w:ascii="Verdana" w:hAnsi="Verdana"/>
              <w:caps/>
              <w:sz w:val="18"/>
              <w:szCs w:val="18"/>
            </w:rPr>
          </w:pPr>
        </w:p>
        <w:p w14:paraId="6906DBF0" w14:textId="395407A3" w:rsidR="00F41B98" w:rsidRPr="00F41B98" w:rsidRDefault="00F41B98" w:rsidP="00F41B98">
          <w:pPr>
            <w:jc w:val="center"/>
            <w:rPr>
              <w:rFonts w:ascii="Verdana" w:hAnsi="Verdana"/>
              <w:b/>
              <w:bCs/>
              <w:color w:val="808080"/>
              <w:sz w:val="18"/>
              <w:szCs w:val="18"/>
              <w:lang w:val="en-GB"/>
            </w:rPr>
          </w:pPr>
          <w:r w:rsidRPr="00F41B98">
            <w:rPr>
              <w:rFonts w:ascii="Verdana" w:hAnsi="Verdana"/>
              <w:b/>
              <w:bCs/>
              <w:color w:val="808080"/>
              <w:sz w:val="18"/>
              <w:szCs w:val="18"/>
              <w:lang w:val="en-GB"/>
            </w:rPr>
            <w:t>Independent national experts network in the area of adult education/adult skills</w:t>
          </w:r>
        </w:p>
      </w:tc>
      <w:tc>
        <w:tcPr>
          <w:tcW w:w="1146" w:type="dxa"/>
        </w:tcPr>
        <w:p w14:paraId="6906DBF1" w14:textId="77777777" w:rsidR="00F41B98" w:rsidRPr="00F32E15" w:rsidRDefault="00F41B98" w:rsidP="00ED7DE3">
          <w:pPr>
            <w:pStyle w:val="ZCom"/>
            <w:rPr>
              <w:lang w:val="en-GB"/>
            </w:rPr>
          </w:pPr>
        </w:p>
        <w:p w14:paraId="6906DBF2" w14:textId="77777777" w:rsidR="00F41B98" w:rsidRPr="00F32E15" w:rsidRDefault="00F41B98" w:rsidP="00ED7DE3">
          <w:pPr>
            <w:pStyle w:val="ZDGName"/>
            <w:rPr>
              <w:lang w:val="en-GB"/>
            </w:rPr>
          </w:pPr>
        </w:p>
        <w:p w14:paraId="6906DBF3" w14:textId="77777777" w:rsidR="00F41B98" w:rsidRPr="00F32E15" w:rsidRDefault="00F41B98" w:rsidP="00ED7DE3">
          <w:pPr>
            <w:pStyle w:val="ZDGName"/>
            <w:rPr>
              <w:lang w:val="en-GB"/>
            </w:rPr>
          </w:pPr>
        </w:p>
        <w:p w14:paraId="6906DBF4" w14:textId="77777777" w:rsidR="00F41B98" w:rsidRPr="00F32E15" w:rsidRDefault="00F41B98" w:rsidP="00ED7DE3">
          <w:pPr>
            <w:pStyle w:val="ZDGName"/>
            <w:rPr>
              <w:lang w:val="en-GB"/>
            </w:rPr>
          </w:pPr>
        </w:p>
      </w:tc>
    </w:tr>
  </w:tbl>
  <w:p w14:paraId="6906DBF6" w14:textId="77777777" w:rsidR="00F41B98" w:rsidRPr="00F32E15" w:rsidRDefault="00F41B98" w:rsidP="005931F7">
    <w:pPr>
      <w:pStyle w:val="Header"/>
      <w:tabs>
        <w:tab w:val="clear" w:pos="8306"/>
      </w:tabs>
      <w:ind w:right="-742"/>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6DBFB" w14:textId="77777777" w:rsidR="00F41B98" w:rsidRDefault="00F41B98" w:rsidP="000535B3">
    <w:pPr>
      <w:pStyle w:val="Header"/>
      <w:tabs>
        <w:tab w:val="clear" w:pos="4153"/>
        <w:tab w:val="center" w:pos="4536"/>
        <w:tab w:val="left" w:pos="7513"/>
      </w:tabs>
      <w:spacing w:after="0"/>
      <w:jc w:val="center"/>
    </w:pPr>
    <w:r>
      <w:rPr>
        <w:noProof/>
        <w:lang w:val="en-GB" w:eastAsia="en-GB"/>
      </w:rPr>
      <w:drawing>
        <wp:anchor distT="0" distB="0" distL="114300" distR="114300" simplePos="0" relativeHeight="251653632" behindDoc="1" locked="0" layoutInCell="1" allowOverlap="1" wp14:anchorId="6906DC0A" wp14:editId="662EA64D">
          <wp:simplePos x="0" y="0"/>
          <wp:positionH relativeFrom="margin">
            <wp:posOffset>-923290</wp:posOffset>
          </wp:positionH>
          <wp:positionV relativeFrom="margin">
            <wp:posOffset>288290</wp:posOffset>
          </wp:positionV>
          <wp:extent cx="7345045" cy="7423785"/>
          <wp:effectExtent l="0" t="0" r="0" b="0"/>
          <wp:wrapNone/>
          <wp:docPr id="19" name="Picture 19" descr="Description: Description: Description: C:\Documents and Settings\lenain\Local Settings\Temporary Internet Files\Content.Word\griff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Documents and Settings\lenain\Local Settings\Temporary Internet Files\Content.Word\griffe_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5045" cy="74237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inline distT="0" distB="0" distL="0" distR="0" wp14:anchorId="6906DC0C" wp14:editId="26AECD17">
          <wp:extent cx="2266950" cy="1743075"/>
          <wp:effectExtent l="0" t="0" r="0" b="0"/>
          <wp:docPr id="20" name="Picture 20" descr="LOGO-CE for Word EN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E for Word EN Posit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6950" cy="17430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6DC00" w14:textId="77777777" w:rsidR="00F41B98" w:rsidRPr="00623ED0" w:rsidRDefault="00F41B98" w:rsidP="00623ED0">
    <w:pPr>
      <w:pStyle w:val="Header"/>
      <w:tabs>
        <w:tab w:val="left" w:pos="7513"/>
      </w:tabs>
      <w:spacing w:after="0"/>
      <w:ind w:left="4153" w:hanging="4153"/>
      <w:jc w:val="center"/>
      <w:rPr>
        <w:lang w:val="fr-BE"/>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30805" w14:textId="7773613D" w:rsidR="00F41B98" w:rsidRDefault="00F32E15" w:rsidP="00F32E15">
    <w:pPr>
      <w:pStyle w:val="Header"/>
      <w:jc w:val="center"/>
    </w:pPr>
    <w:r>
      <w:rPr>
        <w:rFonts w:ascii="Verdana" w:hAnsi="Verdana"/>
        <w:color w:val="808080" w:themeColor="background1" w:themeShade="80"/>
        <w:sz w:val="20"/>
        <w:lang w:val="fr-BE"/>
      </w:rPr>
      <w:t>EUROPEAN COMMISSION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89533" w14:textId="77777777" w:rsidR="00F32E15" w:rsidRDefault="00F32E15">
    <w:pPr>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4B56F" w14:textId="77777777" w:rsidR="00F32E15" w:rsidRPr="00E946C7" w:rsidRDefault="00F32E15" w:rsidP="00F32E15">
    <w:pPr>
      <w:pStyle w:val="Heading"/>
      <w:spacing w:line="288" w:lineRule="auto"/>
      <w:jc w:val="center"/>
      <w:rPr>
        <w:b w:val="0"/>
        <w:lang w:val="en-GB"/>
      </w:rPr>
    </w:pPr>
    <w:r w:rsidRPr="00E946C7">
      <w:rPr>
        <w:b w:val="0"/>
        <w:caps w:val="0"/>
        <w:u w:val="none"/>
        <w:lang w:val="en-GB"/>
      </w:rPr>
      <w:t>Independent national experts network in the area of adult education/adult skills</w:t>
    </w:r>
  </w:p>
  <w:p w14:paraId="64A59709" w14:textId="019955C9" w:rsidR="00F32E15" w:rsidRDefault="00F32E15" w:rsidP="00F32E15">
    <w:pPr>
      <w:jc w:val="center"/>
    </w:pPr>
    <w:r>
      <w:rPr>
        <w:rFonts w:ascii="Verdana" w:hAnsi="Verdana"/>
        <w:sz w:val="20"/>
        <w:lang w:val="en-GB"/>
      </w:rPr>
      <w:t xml:space="preserve">Full country report - </w:t>
    </w:r>
    <w:r>
      <w:rPr>
        <w:rFonts w:ascii="Verdana" w:hAnsi="Verdana"/>
        <w:sz w:val="20"/>
        <w:lang w:val="en-GB"/>
      </w:rPr>
      <w:t>Portugal</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6DC07" w14:textId="44408700" w:rsidR="00F41B98" w:rsidRPr="00623ED0" w:rsidRDefault="00F41B98" w:rsidP="00623ED0">
    <w:pPr>
      <w:pStyle w:val="Header"/>
      <w:tabs>
        <w:tab w:val="left" w:pos="7513"/>
      </w:tabs>
      <w:spacing w:after="0"/>
      <w:jc w:val="center"/>
      <w:rPr>
        <w:noProof/>
        <w:lang w:val="en-GB" w:eastAsia="en-GB"/>
      </w:rPr>
    </w:pPr>
    <w:r>
      <w:rPr>
        <w:noProof/>
        <w:lang w:val="en-GB" w:eastAsia="en-GB"/>
      </w:rPr>
      <mc:AlternateContent>
        <mc:Choice Requires="wps">
          <w:drawing>
            <wp:anchor distT="0" distB="0" distL="114300" distR="114300" simplePos="0" relativeHeight="251660288" behindDoc="0" locked="0" layoutInCell="1" allowOverlap="1" wp14:anchorId="6906DC1A" wp14:editId="7A87F46C">
              <wp:simplePos x="0" y="0"/>
              <wp:positionH relativeFrom="margin">
                <wp:posOffset>5830570</wp:posOffset>
              </wp:positionH>
              <wp:positionV relativeFrom="page">
                <wp:posOffset>138430</wp:posOffset>
              </wp:positionV>
              <wp:extent cx="622300" cy="1229360"/>
              <wp:effectExtent l="1270" t="0" r="0" b="3810"/>
              <wp:wrapNone/>
              <wp:docPr id="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122936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6DC21" w14:textId="5661FCC9" w:rsidR="00F41B98" w:rsidRPr="00367149" w:rsidRDefault="00F41B98" w:rsidP="00367149">
                          <w:pPr>
                            <w:rPr>
                              <w:rFonts w:ascii="Verdana" w:hAnsi="Verdana"/>
                              <w:color w:val="FFFFFF" w:themeColor="background1"/>
                              <w:sz w:val="16"/>
                              <w:lang w:val="fr-BE"/>
                            </w:rPr>
                          </w:pPr>
                          <w:r>
                            <w:rPr>
                              <w:rFonts w:ascii="Verdana" w:hAnsi="Verdana"/>
                              <w:color w:val="FFFFFF" w:themeColor="background1"/>
                              <w:sz w:val="16"/>
                              <w:lang w:val="fr-BE"/>
                            </w:rPr>
                            <w:t>Catalogue number</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6DC1A" id="_x0000_t202" coordsize="21600,21600" o:spt="202" path="m,l,21600r21600,l21600,xe">
              <v:stroke joinstyle="miter"/>
              <v:path gradientshapeok="t" o:connecttype="rect"/>
            </v:shapetype>
            <v:shape id="Text Box 72" o:spid="_x0000_s1028" type="#_x0000_t202" style="position:absolute;left:0;text-align:left;margin-left:459.1pt;margin-top:10.9pt;width:49pt;height:96.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" filled="f" fillcolor="black" stroked="f">
              <v:textbox style="layout-flow:vertical" inset="0,0,0,0">
                <w:txbxContent>
                  <w:p w14:paraId="6906DC21" w14:textId="5661FCC9" w:rsidR="00F41B98" w:rsidRPr="00367149" w:rsidRDefault="00F41B98" w:rsidP="00367149">
                    <w:pPr>
                      <w:rPr>
                        <w:rFonts w:ascii="Verdana" w:hAnsi="Verdana"/>
                        <w:color w:val="FFFFFF" w:themeColor="background1"/>
                        <w:sz w:val="16"/>
                        <w:lang w:val="fr-BE"/>
                      </w:rPr>
                    </w:pPr>
                    <w:r>
                      <w:rPr>
                        <w:rFonts w:ascii="Verdana" w:hAnsi="Verdana"/>
                        <w:color w:val="FFFFFF" w:themeColor="background1"/>
                        <w:sz w:val="16"/>
                        <w:lang w:val="fr-BE"/>
                      </w:rPr>
                      <w:t>Catalogue number</w:t>
                    </w:r>
                  </w:p>
                </w:txbxContent>
              </v:textbox>
              <w10:wrap anchorx="margin"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24410" w14:textId="77777777" w:rsidR="003207A4" w:rsidRDefault="003207A4">
    <w:pPr>
      <w:jc w:val="cent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99AD0" w14:textId="3F94E96F" w:rsidR="003207A4" w:rsidRDefault="003207A4">
    <w:pPr>
      <w:jc w:val="center"/>
    </w:pPr>
    <w:r>
      <w:rPr>
        <w:noProof/>
        <w:lang w:val="en-GB" w:eastAsia="en-GB"/>
      </w:rPr>
      <mc:AlternateContent>
        <mc:Choice Requires="wps">
          <w:drawing>
            <wp:anchor distT="0" distB="0" distL="114300" distR="114300" simplePos="0" relativeHeight="251666944" behindDoc="1" locked="0" layoutInCell="1" allowOverlap="1" wp14:anchorId="5A6BE9E0" wp14:editId="4ECC1CBE">
              <wp:simplePos x="0" y="0"/>
              <wp:positionH relativeFrom="page">
                <wp:align>left</wp:align>
              </wp:positionH>
              <wp:positionV relativeFrom="page">
                <wp:align>top</wp:align>
              </wp:positionV>
              <wp:extent cx="7560310" cy="1370037"/>
              <wp:effectExtent l="0" t="0" r="2540" b="1905"/>
              <wp:wrapNone/>
              <wp:docPr id="2" name="Rectangle 2"/>
              <wp:cNvGraphicFramePr/>
              <a:graphic xmlns:a="http://schemas.openxmlformats.org/drawingml/2006/main">
                <a:graphicData uri="http://schemas.microsoft.com/office/word/2010/wordprocessingShape">
                  <wps:wsp>
                    <wps:cNvSpPr/>
                    <wps:spPr>
                      <a:xfrm>
                        <a:off x="0" y="0"/>
                        <a:ext cx="7560310" cy="1370037"/>
                      </a:xfrm>
                      <a:prstGeom prst="rect">
                        <a:avLst/>
                      </a:prstGeom>
                      <a:solidFill>
                        <a:srgbClr val="0044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605420" id="Rectangle 2" o:spid="_x0000_s1026" style="position:absolute;margin-left:0;margin-top:0;width:595.3pt;height:107.9pt;z-index:-251649536;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" fillcolor="#004494" stroked="f" strokeweight="2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1FE8577C"/>
    <w:lvl w:ilvl="0">
      <w:start w:val="1"/>
      <w:numFmt w:val="bullet"/>
      <w:lvlText w:val=""/>
      <w:lvlJc w:val="left"/>
      <w:pPr>
        <w:tabs>
          <w:tab w:val="num" w:pos="1418"/>
        </w:tabs>
        <w:ind w:left="1418" w:hanging="284"/>
      </w:pPr>
      <w:rPr>
        <w:rFonts w:ascii="Symbol" w:hAnsi="Symbol" w:hint="default"/>
      </w:rPr>
    </w:lvl>
  </w:abstractNum>
  <w:abstractNum w:abstractNumId="3" w15:restartNumberingAfterBreak="0">
    <w:nsid w:val="0934351C"/>
    <w:multiLevelType w:val="hybridMultilevel"/>
    <w:tmpl w:val="7BD6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8426E"/>
    <w:multiLevelType w:val="hybridMultilevel"/>
    <w:tmpl w:val="F76EC6AC"/>
    <w:lvl w:ilvl="0" w:tplc="1DBAE22A">
      <w:start w:val="1"/>
      <w:numFmt w:val="bullet"/>
      <w:pStyle w:val="Bulletpoint1"/>
      <w:lvlText w:val=""/>
      <w:lvlJc w:val="left"/>
      <w:pPr>
        <w:ind w:left="717" w:hanging="360"/>
      </w:pPr>
      <w:rPr>
        <w:rFonts w:ascii="Symbol" w:hAnsi="Symbol" w:hint="default"/>
        <w:color w:val="00AE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50B32"/>
    <w:multiLevelType w:val="multilevel"/>
    <w:tmpl w:val="40184A6C"/>
    <w:lvl w:ilvl="0">
      <w:start w:val="1"/>
      <w:numFmt w:val="decimal"/>
      <w:lvlText w:val="%1.0"/>
      <w:lvlJc w:val="left"/>
      <w:pPr>
        <w:tabs>
          <w:tab w:val="num" w:pos="1134"/>
        </w:tabs>
        <w:ind w:left="1134" w:hanging="1134"/>
      </w:pPr>
      <w:rPr>
        <w:rFonts w:hint="default"/>
      </w:rPr>
    </w:lvl>
    <w:lvl w:ilvl="1">
      <w:start w:val="1"/>
      <w:numFmt w:val="decimal"/>
      <w:pStyle w:val="Heading2"/>
      <w:lvlText w:val="%1.%2"/>
      <w:lvlJc w:val="left"/>
      <w:pPr>
        <w:tabs>
          <w:tab w:val="num" w:pos="709"/>
        </w:tabs>
        <w:ind w:left="709"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3402"/>
        </w:tabs>
        <w:ind w:left="3402"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425"/>
        </w:tabs>
        <w:ind w:left="709" w:hanging="1134"/>
      </w:pPr>
      <w:rPr>
        <w:rFonts w:hint="default"/>
        <w:b w:val="0"/>
        <w:i w:val="0"/>
        <w:sz w:val="24"/>
        <w:szCs w:val="24"/>
      </w:rPr>
    </w:lvl>
    <w:lvl w:ilvl="4">
      <w:start w:val="1"/>
      <w:numFmt w:val="none"/>
      <w:suff w:val="nothing"/>
      <w:lvlText w:val=""/>
      <w:lvlJc w:val="left"/>
      <w:pPr>
        <w:ind w:left="-28" w:firstLine="0"/>
      </w:pPr>
      <w:rPr>
        <w:rFonts w:hint="default"/>
      </w:rPr>
    </w:lvl>
    <w:lvl w:ilvl="5">
      <w:start w:val="1"/>
      <w:numFmt w:val="none"/>
      <w:suff w:val="nothing"/>
      <w:lvlText w:val=""/>
      <w:lvlJc w:val="left"/>
      <w:pPr>
        <w:ind w:left="-28" w:firstLine="0"/>
      </w:pPr>
      <w:rPr>
        <w:rFonts w:hint="default"/>
      </w:rPr>
    </w:lvl>
    <w:lvl w:ilvl="6">
      <w:start w:val="1"/>
      <w:numFmt w:val="none"/>
      <w:suff w:val="nothing"/>
      <w:lvlText w:val=""/>
      <w:lvlJc w:val="left"/>
      <w:pPr>
        <w:ind w:left="-28" w:firstLine="0"/>
      </w:pPr>
      <w:rPr>
        <w:rFonts w:hint="default"/>
      </w:rPr>
    </w:lvl>
    <w:lvl w:ilvl="7">
      <w:start w:val="1"/>
      <w:numFmt w:val="none"/>
      <w:suff w:val="nothing"/>
      <w:lvlText w:val=""/>
      <w:lvlJc w:val="left"/>
      <w:pPr>
        <w:ind w:left="-28" w:firstLine="0"/>
      </w:pPr>
      <w:rPr>
        <w:rFonts w:hint="default"/>
      </w:rPr>
    </w:lvl>
    <w:lvl w:ilvl="8">
      <w:start w:val="1"/>
      <w:numFmt w:val="none"/>
      <w:suff w:val="nothing"/>
      <w:lvlText w:val=""/>
      <w:lvlJc w:val="left"/>
      <w:pPr>
        <w:ind w:left="-28" w:firstLine="0"/>
      </w:pPr>
      <w:rPr>
        <w:rFonts w:hint="default"/>
      </w:rPr>
    </w:lvl>
  </w:abstractNum>
  <w:abstractNum w:abstractNumId="6" w15:restartNumberingAfterBreak="0">
    <w:nsid w:val="115761F8"/>
    <w:multiLevelType w:val="hybridMultilevel"/>
    <w:tmpl w:val="70C46E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4B5FA1"/>
    <w:multiLevelType w:val="hybridMultilevel"/>
    <w:tmpl w:val="E6561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C076525"/>
    <w:multiLevelType w:val="hybridMultilevel"/>
    <w:tmpl w:val="82E63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lvlText w:val="%1.%2."/>
      <w:lvlJc w:val="left"/>
      <w:pPr>
        <w:tabs>
          <w:tab w:val="num" w:pos="1200"/>
        </w:tabs>
        <w:ind w:left="1200" w:hanging="720"/>
      </w:pPr>
    </w:lvl>
    <w:lvl w:ilvl="2">
      <w:start w:val="1"/>
      <w:numFmt w:val="decimal"/>
      <w:lvlText w:val="%1.%2.%3."/>
      <w:lvlJc w:val="left"/>
      <w:pPr>
        <w:tabs>
          <w:tab w:val="num" w:pos="1855"/>
        </w:tabs>
        <w:ind w:left="1855"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095352C"/>
    <w:multiLevelType w:val="hybridMultilevel"/>
    <w:tmpl w:val="E086048C"/>
    <w:lvl w:ilvl="0" w:tplc="0E08B0D8">
      <w:start w:val="1"/>
      <w:numFmt w:val="decimal"/>
      <w:pStyle w:val="BodyTextnumbered"/>
      <w:lvlText w:val="%1"/>
      <w:lvlJc w:val="left"/>
      <w:pPr>
        <w:tabs>
          <w:tab w:val="num" w:pos="414"/>
        </w:tabs>
        <w:ind w:left="414" w:hanging="414"/>
      </w:pPr>
      <w:rPr>
        <w:rFonts w:hint="default"/>
        <w:sz w:val="20"/>
        <w:szCs w:val="24"/>
      </w:rPr>
    </w:lvl>
    <w:lvl w:ilvl="1" w:tplc="04090019">
      <w:start w:val="1"/>
      <w:numFmt w:val="lowerLetter"/>
      <w:lvlText w:val="%2."/>
      <w:lvlJc w:val="left"/>
      <w:pPr>
        <w:tabs>
          <w:tab w:val="num" w:pos="1309"/>
        </w:tabs>
        <w:ind w:left="1309" w:hanging="360"/>
      </w:pPr>
    </w:lvl>
    <w:lvl w:ilvl="2" w:tplc="0409001B">
      <w:start w:val="1"/>
      <w:numFmt w:val="lowerRoman"/>
      <w:lvlText w:val="%3."/>
      <w:lvlJc w:val="right"/>
      <w:pPr>
        <w:tabs>
          <w:tab w:val="num" w:pos="2029"/>
        </w:tabs>
        <w:ind w:left="2029" w:hanging="180"/>
      </w:pPr>
    </w:lvl>
    <w:lvl w:ilvl="3" w:tplc="0409000F" w:tentative="1">
      <w:start w:val="1"/>
      <w:numFmt w:val="decimal"/>
      <w:lvlText w:val="%4."/>
      <w:lvlJc w:val="left"/>
      <w:pPr>
        <w:tabs>
          <w:tab w:val="num" w:pos="2749"/>
        </w:tabs>
        <w:ind w:left="2749" w:hanging="360"/>
      </w:pPr>
    </w:lvl>
    <w:lvl w:ilvl="4" w:tplc="04090019" w:tentative="1">
      <w:start w:val="1"/>
      <w:numFmt w:val="lowerLetter"/>
      <w:lvlText w:val="%5."/>
      <w:lvlJc w:val="left"/>
      <w:pPr>
        <w:tabs>
          <w:tab w:val="num" w:pos="3469"/>
        </w:tabs>
        <w:ind w:left="3469" w:hanging="360"/>
      </w:pPr>
    </w:lvl>
    <w:lvl w:ilvl="5" w:tplc="0409001B" w:tentative="1">
      <w:start w:val="1"/>
      <w:numFmt w:val="lowerRoman"/>
      <w:lvlText w:val="%6."/>
      <w:lvlJc w:val="right"/>
      <w:pPr>
        <w:tabs>
          <w:tab w:val="num" w:pos="4189"/>
        </w:tabs>
        <w:ind w:left="4189" w:hanging="180"/>
      </w:pPr>
    </w:lvl>
    <w:lvl w:ilvl="6" w:tplc="0409000F" w:tentative="1">
      <w:start w:val="1"/>
      <w:numFmt w:val="decimal"/>
      <w:lvlText w:val="%7."/>
      <w:lvlJc w:val="left"/>
      <w:pPr>
        <w:tabs>
          <w:tab w:val="num" w:pos="4909"/>
        </w:tabs>
        <w:ind w:left="4909" w:hanging="360"/>
      </w:pPr>
    </w:lvl>
    <w:lvl w:ilvl="7" w:tplc="04090019" w:tentative="1">
      <w:start w:val="1"/>
      <w:numFmt w:val="lowerLetter"/>
      <w:lvlText w:val="%8."/>
      <w:lvlJc w:val="left"/>
      <w:pPr>
        <w:tabs>
          <w:tab w:val="num" w:pos="5629"/>
        </w:tabs>
        <w:ind w:left="5629" w:hanging="360"/>
      </w:pPr>
    </w:lvl>
    <w:lvl w:ilvl="8" w:tplc="0409001B" w:tentative="1">
      <w:start w:val="1"/>
      <w:numFmt w:val="lowerRoman"/>
      <w:lvlText w:val="%9."/>
      <w:lvlJc w:val="right"/>
      <w:pPr>
        <w:tabs>
          <w:tab w:val="num" w:pos="6349"/>
        </w:tabs>
        <w:ind w:left="6349" w:hanging="180"/>
      </w:pPr>
    </w:lvl>
  </w:abstractNum>
  <w:abstractNum w:abstractNumId="13" w15:restartNumberingAfterBreak="0">
    <w:nsid w:val="21C4239A"/>
    <w:multiLevelType w:val="hybridMultilevel"/>
    <w:tmpl w:val="79762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7435EED"/>
    <w:multiLevelType w:val="hybridMultilevel"/>
    <w:tmpl w:val="F3B8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7"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DE73A68"/>
    <w:multiLevelType w:val="hybridMultilevel"/>
    <w:tmpl w:val="C442D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FD1D24"/>
    <w:multiLevelType w:val="hybridMultilevel"/>
    <w:tmpl w:val="36DE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5F27E8"/>
    <w:multiLevelType w:val="hybridMultilevel"/>
    <w:tmpl w:val="51603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2"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4"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5" w15:restartNumberingAfterBreak="0">
    <w:nsid w:val="41C60841"/>
    <w:multiLevelType w:val="hybridMultilevel"/>
    <w:tmpl w:val="CCF8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753A6D"/>
    <w:multiLevelType w:val="hybridMultilevel"/>
    <w:tmpl w:val="5E6E3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8" w15:restartNumberingAfterBreak="0">
    <w:nsid w:val="49DF21E6"/>
    <w:multiLevelType w:val="hybridMultilevel"/>
    <w:tmpl w:val="3F1EC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9747D9"/>
    <w:multiLevelType w:val="hybridMultilevel"/>
    <w:tmpl w:val="45089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4A1CE1"/>
    <w:multiLevelType w:val="hybridMultilevel"/>
    <w:tmpl w:val="2EEA4DF0"/>
    <w:lvl w:ilvl="0" w:tplc="508EE518">
      <w:start w:val="1"/>
      <w:numFmt w:val="bullet"/>
      <w:pStyle w:val="BulletPoint2"/>
      <w:lvlText w:val=""/>
      <w:lvlJc w:val="left"/>
      <w:pPr>
        <w:ind w:left="1080" w:hanging="360"/>
      </w:pPr>
      <w:rPr>
        <w:rFonts w:ascii="Symbol" w:hAnsi="Symbol" w:hint="default"/>
        <w:color w:val="7F7F7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E8D3084"/>
    <w:multiLevelType w:val="hybridMultilevel"/>
    <w:tmpl w:val="D8B4EFBA"/>
    <w:lvl w:ilvl="0" w:tplc="E83E1136">
      <w:start w:val="1"/>
      <w:numFmt w:val="decimal"/>
      <w:pStyle w:val="Title2"/>
      <w:lvlText w:val="%1.1"/>
      <w:lvlJc w:val="left"/>
      <w:pPr>
        <w:ind w:left="1202" w:hanging="360"/>
      </w:pPr>
      <w:rPr>
        <w:rFonts w:hint="default"/>
      </w:rPr>
    </w:lvl>
    <w:lvl w:ilvl="1" w:tplc="08130019" w:tentative="1">
      <w:start w:val="1"/>
      <w:numFmt w:val="lowerLetter"/>
      <w:lvlText w:val="%2."/>
      <w:lvlJc w:val="left"/>
      <w:pPr>
        <w:ind w:left="1922" w:hanging="360"/>
      </w:pPr>
    </w:lvl>
    <w:lvl w:ilvl="2" w:tplc="0813001B" w:tentative="1">
      <w:start w:val="1"/>
      <w:numFmt w:val="lowerRoman"/>
      <w:lvlText w:val="%3."/>
      <w:lvlJc w:val="right"/>
      <w:pPr>
        <w:ind w:left="2642" w:hanging="180"/>
      </w:pPr>
    </w:lvl>
    <w:lvl w:ilvl="3" w:tplc="0813000F" w:tentative="1">
      <w:start w:val="1"/>
      <w:numFmt w:val="decimal"/>
      <w:lvlText w:val="%4."/>
      <w:lvlJc w:val="left"/>
      <w:pPr>
        <w:ind w:left="3362" w:hanging="360"/>
      </w:pPr>
    </w:lvl>
    <w:lvl w:ilvl="4" w:tplc="08130019" w:tentative="1">
      <w:start w:val="1"/>
      <w:numFmt w:val="lowerLetter"/>
      <w:lvlText w:val="%5."/>
      <w:lvlJc w:val="left"/>
      <w:pPr>
        <w:ind w:left="4082" w:hanging="360"/>
      </w:pPr>
    </w:lvl>
    <w:lvl w:ilvl="5" w:tplc="0813001B" w:tentative="1">
      <w:start w:val="1"/>
      <w:numFmt w:val="lowerRoman"/>
      <w:lvlText w:val="%6."/>
      <w:lvlJc w:val="right"/>
      <w:pPr>
        <w:ind w:left="4802" w:hanging="180"/>
      </w:pPr>
    </w:lvl>
    <w:lvl w:ilvl="6" w:tplc="0813000F" w:tentative="1">
      <w:start w:val="1"/>
      <w:numFmt w:val="decimal"/>
      <w:lvlText w:val="%7."/>
      <w:lvlJc w:val="left"/>
      <w:pPr>
        <w:ind w:left="5522" w:hanging="360"/>
      </w:pPr>
    </w:lvl>
    <w:lvl w:ilvl="7" w:tplc="08130019" w:tentative="1">
      <w:start w:val="1"/>
      <w:numFmt w:val="lowerLetter"/>
      <w:lvlText w:val="%8."/>
      <w:lvlJc w:val="left"/>
      <w:pPr>
        <w:ind w:left="6242" w:hanging="360"/>
      </w:pPr>
    </w:lvl>
    <w:lvl w:ilvl="8" w:tplc="0813001B" w:tentative="1">
      <w:start w:val="1"/>
      <w:numFmt w:val="lowerRoman"/>
      <w:lvlText w:val="%9."/>
      <w:lvlJc w:val="right"/>
      <w:pPr>
        <w:ind w:left="6962" w:hanging="180"/>
      </w:pPr>
    </w:lvl>
  </w:abstractNum>
  <w:abstractNum w:abstractNumId="32" w15:restartNumberingAfterBreak="0">
    <w:nsid w:val="52C62D01"/>
    <w:multiLevelType w:val="hybridMultilevel"/>
    <w:tmpl w:val="8B2A3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4" w15:restartNumberingAfterBreak="0">
    <w:nsid w:val="57A8088F"/>
    <w:multiLevelType w:val="hybridMultilevel"/>
    <w:tmpl w:val="02A0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225E80"/>
    <w:multiLevelType w:val="singleLevel"/>
    <w:tmpl w:val="4230A020"/>
    <w:lvl w:ilvl="0">
      <w:start w:val="1"/>
      <w:numFmt w:val="bullet"/>
      <w:pStyle w:val="BTBullet3"/>
      <w:lvlText w:val=""/>
      <w:lvlJc w:val="left"/>
      <w:pPr>
        <w:tabs>
          <w:tab w:val="num" w:pos="1191"/>
        </w:tabs>
        <w:ind w:left="1191" w:hanging="340"/>
      </w:pPr>
      <w:rPr>
        <w:rFonts w:ascii="Symbol" w:hAnsi="Symbol" w:hint="default"/>
        <w:color w:val="auto"/>
      </w:rPr>
    </w:lvl>
  </w:abstractNum>
  <w:abstractNum w:abstractNumId="36"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7"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8"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9" w15:restartNumberingAfterBreak="0">
    <w:nsid w:val="673069FB"/>
    <w:multiLevelType w:val="hybridMultilevel"/>
    <w:tmpl w:val="3488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CB36C4"/>
    <w:multiLevelType w:val="hybridMultilevel"/>
    <w:tmpl w:val="7C44D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2" w15:restartNumberingAfterBreak="0">
    <w:nsid w:val="6F8D45CE"/>
    <w:multiLevelType w:val="hybridMultilevel"/>
    <w:tmpl w:val="5864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4221492"/>
    <w:multiLevelType w:val="multilevel"/>
    <w:tmpl w:val="A9C8D638"/>
    <w:lvl w:ilvl="0">
      <w:start w:val="1"/>
      <w:numFmt w:val="lowerRoman"/>
      <w:pStyle w:val="Listroman"/>
      <w:lvlText w:val="%1."/>
      <w:lvlJc w:val="left"/>
      <w:pPr>
        <w:tabs>
          <w:tab w:val="num" w:pos="1418"/>
        </w:tabs>
        <w:ind w:left="1418" w:hanging="284"/>
      </w:pPr>
      <w:rPr>
        <w:rFonts w:hint="default"/>
      </w:rPr>
    </w:lvl>
    <w:lvl w:ilvl="1">
      <w:start w:val="1"/>
      <w:numFmt w:val="lowerLetter"/>
      <w:pStyle w:val="Listalpha"/>
      <w:lvlText w:val="%2."/>
      <w:lvlJc w:val="left"/>
      <w:pPr>
        <w:tabs>
          <w:tab w:val="num" w:pos="1701"/>
        </w:tabs>
        <w:ind w:left="1701" w:hanging="283"/>
      </w:pPr>
      <w:rPr>
        <w:rFonts w:hint="default"/>
      </w:rPr>
    </w:lvl>
    <w:lvl w:ilvl="2">
      <w:start w:val="1"/>
      <w:numFmt w:val="lowerRoman"/>
      <w:lvlText w:val="(%3)"/>
      <w:lvlJc w:val="left"/>
      <w:pPr>
        <w:tabs>
          <w:tab w:val="num" w:pos="567"/>
        </w:tabs>
        <w:ind w:left="0" w:firstLine="357"/>
      </w:pPr>
      <w:rPr>
        <w:rFonts w:hint="default"/>
      </w:rPr>
    </w:lvl>
    <w:lvl w:ilvl="3">
      <w:start w:val="1"/>
      <w:numFmt w:val="lowerLetter"/>
      <w:lvlText w:val="%4)"/>
      <w:lvlJc w:val="left"/>
      <w:pPr>
        <w:tabs>
          <w:tab w:val="num" w:pos="567"/>
        </w:tabs>
        <w:ind w:left="567" w:firstLine="357"/>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750E7B25"/>
    <w:multiLevelType w:val="hybridMultilevel"/>
    <w:tmpl w:val="1C02F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1F7233"/>
    <w:multiLevelType w:val="hybridMultilevel"/>
    <w:tmpl w:val="DF80E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1"/>
  </w:num>
  <w:num w:numId="4">
    <w:abstractNumId w:val="24"/>
  </w:num>
  <w:num w:numId="5">
    <w:abstractNumId w:val="16"/>
  </w:num>
  <w:num w:numId="6">
    <w:abstractNumId w:val="23"/>
  </w:num>
  <w:num w:numId="7">
    <w:abstractNumId w:val="38"/>
  </w:num>
  <w:num w:numId="8">
    <w:abstractNumId w:val="41"/>
  </w:num>
  <w:num w:numId="9">
    <w:abstractNumId w:val="21"/>
  </w:num>
  <w:num w:numId="10">
    <w:abstractNumId w:val="37"/>
  </w:num>
  <w:num w:numId="11">
    <w:abstractNumId w:val="36"/>
  </w:num>
  <w:num w:numId="12">
    <w:abstractNumId w:val="27"/>
  </w:num>
  <w:num w:numId="13">
    <w:abstractNumId w:val="33"/>
  </w:num>
  <w:num w:numId="14">
    <w:abstractNumId w:val="14"/>
  </w:num>
  <w:num w:numId="15">
    <w:abstractNumId w:val="22"/>
  </w:num>
  <w:num w:numId="16">
    <w:abstractNumId w:val="9"/>
  </w:num>
  <w:num w:numId="17">
    <w:abstractNumId w:val="17"/>
  </w:num>
  <w:num w:numId="18">
    <w:abstractNumId w:val="43"/>
  </w:num>
  <w:num w:numId="19">
    <w:abstractNumId w:val="30"/>
  </w:num>
  <w:num w:numId="20">
    <w:abstractNumId w:val="4"/>
  </w:num>
  <w:num w:numId="21">
    <w:abstractNumId w:val="31"/>
  </w:num>
  <w:num w:numId="22">
    <w:abstractNumId w:val="8"/>
  </w:num>
  <w:num w:numId="23">
    <w:abstractNumId w:val="12"/>
  </w:num>
  <w:num w:numId="24">
    <w:abstractNumId w:val="5"/>
  </w:num>
  <w:num w:numId="25">
    <w:abstractNumId w:val="44"/>
  </w:num>
  <w:num w:numId="26">
    <w:abstractNumId w:val="35"/>
  </w:num>
  <w:num w:numId="27">
    <w:abstractNumId w:val="19"/>
  </w:num>
  <w:num w:numId="28">
    <w:abstractNumId w:val="39"/>
  </w:num>
  <w:num w:numId="29">
    <w:abstractNumId w:val="34"/>
  </w:num>
  <w:num w:numId="30">
    <w:abstractNumId w:val="6"/>
  </w:num>
  <w:num w:numId="31">
    <w:abstractNumId w:val="46"/>
  </w:num>
  <w:num w:numId="32">
    <w:abstractNumId w:val="26"/>
  </w:num>
  <w:num w:numId="33">
    <w:abstractNumId w:val="13"/>
  </w:num>
  <w:num w:numId="34">
    <w:abstractNumId w:val="40"/>
  </w:num>
  <w:num w:numId="35">
    <w:abstractNumId w:val="15"/>
  </w:num>
  <w:num w:numId="36">
    <w:abstractNumId w:val="2"/>
  </w:num>
  <w:num w:numId="37">
    <w:abstractNumId w:val="28"/>
  </w:num>
  <w:num w:numId="38">
    <w:abstractNumId w:val="20"/>
  </w:num>
  <w:num w:numId="39">
    <w:abstractNumId w:val="29"/>
  </w:num>
  <w:num w:numId="40">
    <w:abstractNumId w:val="10"/>
  </w:num>
  <w:num w:numId="41">
    <w:abstractNumId w:val="45"/>
  </w:num>
  <w:num w:numId="42">
    <w:abstractNumId w:val="32"/>
  </w:num>
  <w:num w:numId="43">
    <w:abstractNumId w:val="25"/>
  </w:num>
  <w:num w:numId="44">
    <w:abstractNumId w:val="7"/>
  </w:num>
  <w:num w:numId="45">
    <w:abstractNumId w:val="42"/>
  </w:num>
  <w:num w:numId="46">
    <w:abstractNumId w:val="3"/>
  </w:num>
  <w:num w:numId="47">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it-IT" w:vendorID="64" w:dllVersion="131078" w:nlCheck="1" w:checkStyle="0"/>
  <w:activeWritingStyle w:appName="MSWord" w:lang="fr-FR" w:vendorID="64" w:dllVersion="131078" w:nlCheck="1" w:checkStyle="0"/>
  <w:activeWritingStyle w:appName="MSWord" w:lang="en-GB" w:vendorID="64" w:dllVersion="131078" w:nlCheck="1" w:checkStyle="1"/>
  <w:activeWritingStyle w:appName="MSWord" w:lang="fr-BE" w:vendorID="64" w:dllVersion="131078" w:nlCheck="1" w:checkStyle="0"/>
  <w:activeWritingStyle w:appName="MSWord" w:lang="es-ES" w:vendorID="64" w:dllVersion="131078" w:nlCheck="1" w:checkStyle="0"/>
  <w:activeWritingStyle w:appName="MSWord" w:lang="da-DK" w:vendorID="64" w:dllVersion="131078" w:nlCheck="1" w:checkStyle="0"/>
  <w:activeWritingStyle w:appName="MSWord" w:lang="en-US" w:vendorID="64" w:dllVersion="131078" w:nlCheck="1" w:checkStyle="1"/>
  <w:activeWritingStyle w:appName="MSWord" w:lang="pt-BR" w:vendorID="64" w:dllVersion="131078" w:nlCheck="1" w:checkStyle="0"/>
  <w:activeWritingStyle w:appName="MSWord" w:lang="pt-PT" w:vendorID="64" w:dllVersion="131078" w:nlCheck="1" w:checkStyle="0"/>
  <w:proofState w:spelling="dirty"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8673" style="mso-position-vertical-relative:margin" fillcolor="#002395" stroke="f">
      <v:fill color="#002395"/>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1268"/>
    <w:rsid w:val="00003AC7"/>
    <w:rsid w:val="00006F47"/>
    <w:rsid w:val="00012209"/>
    <w:rsid w:val="00016EF5"/>
    <w:rsid w:val="0001748A"/>
    <w:rsid w:val="0002439A"/>
    <w:rsid w:val="00027C6B"/>
    <w:rsid w:val="00030154"/>
    <w:rsid w:val="0003531E"/>
    <w:rsid w:val="00041E23"/>
    <w:rsid w:val="000420DD"/>
    <w:rsid w:val="0004580B"/>
    <w:rsid w:val="00050692"/>
    <w:rsid w:val="00052009"/>
    <w:rsid w:val="000535B3"/>
    <w:rsid w:val="00053F67"/>
    <w:rsid w:val="000624B2"/>
    <w:rsid w:val="00062CEC"/>
    <w:rsid w:val="00067B49"/>
    <w:rsid w:val="00083098"/>
    <w:rsid w:val="000846B0"/>
    <w:rsid w:val="0009555A"/>
    <w:rsid w:val="00097276"/>
    <w:rsid w:val="000A26C4"/>
    <w:rsid w:val="000A51CE"/>
    <w:rsid w:val="000A5212"/>
    <w:rsid w:val="000A7FCF"/>
    <w:rsid w:val="000B62F1"/>
    <w:rsid w:val="000C5348"/>
    <w:rsid w:val="000D17BE"/>
    <w:rsid w:val="000D203C"/>
    <w:rsid w:val="000D52C0"/>
    <w:rsid w:val="000E2787"/>
    <w:rsid w:val="000F1813"/>
    <w:rsid w:val="000F6655"/>
    <w:rsid w:val="0010339F"/>
    <w:rsid w:val="001053D1"/>
    <w:rsid w:val="0011681E"/>
    <w:rsid w:val="0012020F"/>
    <w:rsid w:val="00121ECE"/>
    <w:rsid w:val="00131875"/>
    <w:rsid w:val="00131BE7"/>
    <w:rsid w:val="00136138"/>
    <w:rsid w:val="00140138"/>
    <w:rsid w:val="00141116"/>
    <w:rsid w:val="00144EEC"/>
    <w:rsid w:val="0014596A"/>
    <w:rsid w:val="00147B52"/>
    <w:rsid w:val="00150783"/>
    <w:rsid w:val="001636EC"/>
    <w:rsid w:val="0016448B"/>
    <w:rsid w:val="00170246"/>
    <w:rsid w:val="00170C00"/>
    <w:rsid w:val="00174E4E"/>
    <w:rsid w:val="001901AA"/>
    <w:rsid w:val="00194223"/>
    <w:rsid w:val="001A3654"/>
    <w:rsid w:val="001C389C"/>
    <w:rsid w:val="001D1EE1"/>
    <w:rsid w:val="001D2A51"/>
    <w:rsid w:val="001D33A8"/>
    <w:rsid w:val="001D73D2"/>
    <w:rsid w:val="001E39A2"/>
    <w:rsid w:val="001E6AC6"/>
    <w:rsid w:val="001F4CB2"/>
    <w:rsid w:val="00200835"/>
    <w:rsid w:val="00203347"/>
    <w:rsid w:val="002067A1"/>
    <w:rsid w:val="0021201F"/>
    <w:rsid w:val="00213AE8"/>
    <w:rsid w:val="002146E5"/>
    <w:rsid w:val="00215A57"/>
    <w:rsid w:val="00221BF6"/>
    <w:rsid w:val="00225290"/>
    <w:rsid w:val="00234AFB"/>
    <w:rsid w:val="002367E6"/>
    <w:rsid w:val="00241A4D"/>
    <w:rsid w:val="0024424A"/>
    <w:rsid w:val="00254731"/>
    <w:rsid w:val="00255775"/>
    <w:rsid w:val="00266ED9"/>
    <w:rsid w:val="0026795B"/>
    <w:rsid w:val="00277A20"/>
    <w:rsid w:val="00282256"/>
    <w:rsid w:val="00290FEA"/>
    <w:rsid w:val="002948AE"/>
    <w:rsid w:val="00297919"/>
    <w:rsid w:val="002A726D"/>
    <w:rsid w:val="002D2C3E"/>
    <w:rsid w:val="002D52C0"/>
    <w:rsid w:val="002E2FBF"/>
    <w:rsid w:val="002E4BA1"/>
    <w:rsid w:val="002E782C"/>
    <w:rsid w:val="002F1592"/>
    <w:rsid w:val="002F3D3F"/>
    <w:rsid w:val="0030325A"/>
    <w:rsid w:val="00304CB9"/>
    <w:rsid w:val="00307C7C"/>
    <w:rsid w:val="0031320E"/>
    <w:rsid w:val="0031575C"/>
    <w:rsid w:val="003207A4"/>
    <w:rsid w:val="00324DC2"/>
    <w:rsid w:val="00331BA5"/>
    <w:rsid w:val="003416C6"/>
    <w:rsid w:val="00342414"/>
    <w:rsid w:val="0034518D"/>
    <w:rsid w:val="00350D85"/>
    <w:rsid w:val="003566D6"/>
    <w:rsid w:val="003622C8"/>
    <w:rsid w:val="003662DA"/>
    <w:rsid w:val="00367149"/>
    <w:rsid w:val="003711C4"/>
    <w:rsid w:val="003752F8"/>
    <w:rsid w:val="00382FF6"/>
    <w:rsid w:val="0038553A"/>
    <w:rsid w:val="0039110A"/>
    <w:rsid w:val="003A356C"/>
    <w:rsid w:val="003A4447"/>
    <w:rsid w:val="003C7A25"/>
    <w:rsid w:val="003D3DA1"/>
    <w:rsid w:val="003D6E0A"/>
    <w:rsid w:val="003E1C2A"/>
    <w:rsid w:val="003E1CCA"/>
    <w:rsid w:val="003E1ED0"/>
    <w:rsid w:val="003E3594"/>
    <w:rsid w:val="003E59C2"/>
    <w:rsid w:val="003F02EE"/>
    <w:rsid w:val="004010EE"/>
    <w:rsid w:val="00411576"/>
    <w:rsid w:val="00412E97"/>
    <w:rsid w:val="004245DB"/>
    <w:rsid w:val="00430977"/>
    <w:rsid w:val="004354BE"/>
    <w:rsid w:val="00443D2C"/>
    <w:rsid w:val="0044503B"/>
    <w:rsid w:val="00446FD7"/>
    <w:rsid w:val="00455233"/>
    <w:rsid w:val="00456FC8"/>
    <w:rsid w:val="00461D0A"/>
    <w:rsid w:val="00462166"/>
    <w:rsid w:val="00463FD2"/>
    <w:rsid w:val="004849C6"/>
    <w:rsid w:val="00492D6B"/>
    <w:rsid w:val="004A4C16"/>
    <w:rsid w:val="004A6099"/>
    <w:rsid w:val="004B378A"/>
    <w:rsid w:val="004B4D19"/>
    <w:rsid w:val="004E26FB"/>
    <w:rsid w:val="00503DA8"/>
    <w:rsid w:val="00503DFE"/>
    <w:rsid w:val="00506408"/>
    <w:rsid w:val="00513AB4"/>
    <w:rsid w:val="00515F27"/>
    <w:rsid w:val="0053449B"/>
    <w:rsid w:val="005368A5"/>
    <w:rsid w:val="00542908"/>
    <w:rsid w:val="0054698A"/>
    <w:rsid w:val="0055434B"/>
    <w:rsid w:val="00564348"/>
    <w:rsid w:val="0056442A"/>
    <w:rsid w:val="005677CD"/>
    <w:rsid w:val="00577EC6"/>
    <w:rsid w:val="00577EF1"/>
    <w:rsid w:val="005816A2"/>
    <w:rsid w:val="00582E52"/>
    <w:rsid w:val="005848E1"/>
    <w:rsid w:val="00584C98"/>
    <w:rsid w:val="0059090E"/>
    <w:rsid w:val="00592685"/>
    <w:rsid w:val="005931F7"/>
    <w:rsid w:val="00593700"/>
    <w:rsid w:val="00593E25"/>
    <w:rsid w:val="005A59E2"/>
    <w:rsid w:val="005A61C0"/>
    <w:rsid w:val="005B4538"/>
    <w:rsid w:val="005C6427"/>
    <w:rsid w:val="005C672B"/>
    <w:rsid w:val="005D51A6"/>
    <w:rsid w:val="005E2993"/>
    <w:rsid w:val="005F1B3E"/>
    <w:rsid w:val="005F49D5"/>
    <w:rsid w:val="00601B08"/>
    <w:rsid w:val="00605453"/>
    <w:rsid w:val="00623C28"/>
    <w:rsid w:val="00623ED0"/>
    <w:rsid w:val="00633774"/>
    <w:rsid w:val="0063599A"/>
    <w:rsid w:val="00646C13"/>
    <w:rsid w:val="0065004D"/>
    <w:rsid w:val="00660F1F"/>
    <w:rsid w:val="00663DA8"/>
    <w:rsid w:val="006674B3"/>
    <w:rsid w:val="00667EF5"/>
    <w:rsid w:val="006849FF"/>
    <w:rsid w:val="006875E7"/>
    <w:rsid w:val="00690DA5"/>
    <w:rsid w:val="00690E99"/>
    <w:rsid w:val="006914AD"/>
    <w:rsid w:val="00693978"/>
    <w:rsid w:val="006943F5"/>
    <w:rsid w:val="00696241"/>
    <w:rsid w:val="006A41B0"/>
    <w:rsid w:val="006A6301"/>
    <w:rsid w:val="006B2165"/>
    <w:rsid w:val="006B26AA"/>
    <w:rsid w:val="006B669E"/>
    <w:rsid w:val="006D13C5"/>
    <w:rsid w:val="006D578F"/>
    <w:rsid w:val="006E23A8"/>
    <w:rsid w:val="006F3042"/>
    <w:rsid w:val="006F5962"/>
    <w:rsid w:val="00707F5B"/>
    <w:rsid w:val="0071242D"/>
    <w:rsid w:val="00713494"/>
    <w:rsid w:val="00715F11"/>
    <w:rsid w:val="007228FD"/>
    <w:rsid w:val="007354C7"/>
    <w:rsid w:val="0074369D"/>
    <w:rsid w:val="00745228"/>
    <w:rsid w:val="007706D7"/>
    <w:rsid w:val="00773036"/>
    <w:rsid w:val="00774EA2"/>
    <w:rsid w:val="0078099C"/>
    <w:rsid w:val="00781294"/>
    <w:rsid w:val="00785D4A"/>
    <w:rsid w:val="0079010D"/>
    <w:rsid w:val="007A0562"/>
    <w:rsid w:val="007A0E3E"/>
    <w:rsid w:val="007A4813"/>
    <w:rsid w:val="007A7594"/>
    <w:rsid w:val="007A772C"/>
    <w:rsid w:val="007B134E"/>
    <w:rsid w:val="007B4331"/>
    <w:rsid w:val="007C0ACB"/>
    <w:rsid w:val="007C1114"/>
    <w:rsid w:val="007C74C8"/>
    <w:rsid w:val="007D46C5"/>
    <w:rsid w:val="007D5D27"/>
    <w:rsid w:val="007D78D3"/>
    <w:rsid w:val="007E7290"/>
    <w:rsid w:val="007F3473"/>
    <w:rsid w:val="0080091A"/>
    <w:rsid w:val="00800CC5"/>
    <w:rsid w:val="00801EB4"/>
    <w:rsid w:val="0080435C"/>
    <w:rsid w:val="008056FA"/>
    <w:rsid w:val="00824FCF"/>
    <w:rsid w:val="00832D56"/>
    <w:rsid w:val="00841A91"/>
    <w:rsid w:val="00841DEC"/>
    <w:rsid w:val="00844512"/>
    <w:rsid w:val="00845B29"/>
    <w:rsid w:val="00852A36"/>
    <w:rsid w:val="008604E1"/>
    <w:rsid w:val="008611F2"/>
    <w:rsid w:val="0086757F"/>
    <w:rsid w:val="00870844"/>
    <w:rsid w:val="008805B1"/>
    <w:rsid w:val="00882A34"/>
    <w:rsid w:val="00887FEC"/>
    <w:rsid w:val="00892A92"/>
    <w:rsid w:val="008B0B21"/>
    <w:rsid w:val="008B0FCF"/>
    <w:rsid w:val="008B6AC9"/>
    <w:rsid w:val="008B7ABA"/>
    <w:rsid w:val="008C29AF"/>
    <w:rsid w:val="008C61ED"/>
    <w:rsid w:val="008D744B"/>
    <w:rsid w:val="008E0715"/>
    <w:rsid w:val="008F5CB4"/>
    <w:rsid w:val="008F739E"/>
    <w:rsid w:val="009020E9"/>
    <w:rsid w:val="00910BEB"/>
    <w:rsid w:val="009241B0"/>
    <w:rsid w:val="00925BB3"/>
    <w:rsid w:val="009265D7"/>
    <w:rsid w:val="00931E7A"/>
    <w:rsid w:val="00932695"/>
    <w:rsid w:val="009349E8"/>
    <w:rsid w:val="009356D2"/>
    <w:rsid w:val="009370CD"/>
    <w:rsid w:val="009463FC"/>
    <w:rsid w:val="0095201B"/>
    <w:rsid w:val="00965B22"/>
    <w:rsid w:val="0096616A"/>
    <w:rsid w:val="00966734"/>
    <w:rsid w:val="0096722A"/>
    <w:rsid w:val="00971D2B"/>
    <w:rsid w:val="00971E70"/>
    <w:rsid w:val="00972EE7"/>
    <w:rsid w:val="00987442"/>
    <w:rsid w:val="009A0272"/>
    <w:rsid w:val="009A0B23"/>
    <w:rsid w:val="009B5DBA"/>
    <w:rsid w:val="009B6318"/>
    <w:rsid w:val="009B68E4"/>
    <w:rsid w:val="009C128A"/>
    <w:rsid w:val="009C27E2"/>
    <w:rsid w:val="009C7F27"/>
    <w:rsid w:val="009E041C"/>
    <w:rsid w:val="00A12231"/>
    <w:rsid w:val="00A12886"/>
    <w:rsid w:val="00A135C4"/>
    <w:rsid w:val="00A13D45"/>
    <w:rsid w:val="00A15D8A"/>
    <w:rsid w:val="00A20D7A"/>
    <w:rsid w:val="00A20DDF"/>
    <w:rsid w:val="00A20FF6"/>
    <w:rsid w:val="00A23822"/>
    <w:rsid w:val="00A255FF"/>
    <w:rsid w:val="00A25BEB"/>
    <w:rsid w:val="00A321F1"/>
    <w:rsid w:val="00A36AFF"/>
    <w:rsid w:val="00A36DAB"/>
    <w:rsid w:val="00A44841"/>
    <w:rsid w:val="00A46DDD"/>
    <w:rsid w:val="00A4746C"/>
    <w:rsid w:val="00A50808"/>
    <w:rsid w:val="00A50B9C"/>
    <w:rsid w:val="00A57175"/>
    <w:rsid w:val="00A700CF"/>
    <w:rsid w:val="00A72060"/>
    <w:rsid w:val="00A73378"/>
    <w:rsid w:val="00A77243"/>
    <w:rsid w:val="00A8747A"/>
    <w:rsid w:val="00A87C4F"/>
    <w:rsid w:val="00A92E21"/>
    <w:rsid w:val="00A943DB"/>
    <w:rsid w:val="00A954DF"/>
    <w:rsid w:val="00A95DD8"/>
    <w:rsid w:val="00AA294D"/>
    <w:rsid w:val="00AA3D0D"/>
    <w:rsid w:val="00AA4227"/>
    <w:rsid w:val="00AA7E68"/>
    <w:rsid w:val="00AB1329"/>
    <w:rsid w:val="00AB6965"/>
    <w:rsid w:val="00AC2A77"/>
    <w:rsid w:val="00AC5C0D"/>
    <w:rsid w:val="00AD4D4B"/>
    <w:rsid w:val="00AD5CA9"/>
    <w:rsid w:val="00AE60E7"/>
    <w:rsid w:val="00AE7C03"/>
    <w:rsid w:val="00AF152E"/>
    <w:rsid w:val="00AF3154"/>
    <w:rsid w:val="00B12480"/>
    <w:rsid w:val="00B14205"/>
    <w:rsid w:val="00B15429"/>
    <w:rsid w:val="00B155F2"/>
    <w:rsid w:val="00B1638C"/>
    <w:rsid w:val="00B17DB1"/>
    <w:rsid w:val="00B21726"/>
    <w:rsid w:val="00B245A4"/>
    <w:rsid w:val="00B24D10"/>
    <w:rsid w:val="00B31214"/>
    <w:rsid w:val="00B3378D"/>
    <w:rsid w:val="00B425C0"/>
    <w:rsid w:val="00B50220"/>
    <w:rsid w:val="00B53A5B"/>
    <w:rsid w:val="00B631A9"/>
    <w:rsid w:val="00B67611"/>
    <w:rsid w:val="00B67936"/>
    <w:rsid w:val="00B70D46"/>
    <w:rsid w:val="00B74D78"/>
    <w:rsid w:val="00B77A8A"/>
    <w:rsid w:val="00B9193E"/>
    <w:rsid w:val="00B95205"/>
    <w:rsid w:val="00B956B9"/>
    <w:rsid w:val="00B96B6A"/>
    <w:rsid w:val="00BA369B"/>
    <w:rsid w:val="00BA62BA"/>
    <w:rsid w:val="00BB0F2D"/>
    <w:rsid w:val="00BB2397"/>
    <w:rsid w:val="00BB3CD1"/>
    <w:rsid w:val="00BD0148"/>
    <w:rsid w:val="00BD34AB"/>
    <w:rsid w:val="00BD7858"/>
    <w:rsid w:val="00BE55E6"/>
    <w:rsid w:val="00BF6AA3"/>
    <w:rsid w:val="00BF6CCA"/>
    <w:rsid w:val="00BF737C"/>
    <w:rsid w:val="00C020D0"/>
    <w:rsid w:val="00C02386"/>
    <w:rsid w:val="00C026B8"/>
    <w:rsid w:val="00C0507D"/>
    <w:rsid w:val="00C0720E"/>
    <w:rsid w:val="00C07B71"/>
    <w:rsid w:val="00C13690"/>
    <w:rsid w:val="00C13C17"/>
    <w:rsid w:val="00C15CAB"/>
    <w:rsid w:val="00C25F7E"/>
    <w:rsid w:val="00C60673"/>
    <w:rsid w:val="00C738F4"/>
    <w:rsid w:val="00C924E4"/>
    <w:rsid w:val="00C94311"/>
    <w:rsid w:val="00CA0164"/>
    <w:rsid w:val="00CB17F2"/>
    <w:rsid w:val="00CB4C9A"/>
    <w:rsid w:val="00CC5B54"/>
    <w:rsid w:val="00CC62B7"/>
    <w:rsid w:val="00CC7008"/>
    <w:rsid w:val="00CD08CF"/>
    <w:rsid w:val="00CF0228"/>
    <w:rsid w:val="00CF1237"/>
    <w:rsid w:val="00D005D0"/>
    <w:rsid w:val="00D01759"/>
    <w:rsid w:val="00D02BAF"/>
    <w:rsid w:val="00D21395"/>
    <w:rsid w:val="00D24A5A"/>
    <w:rsid w:val="00D32BB8"/>
    <w:rsid w:val="00D32DF0"/>
    <w:rsid w:val="00D3450C"/>
    <w:rsid w:val="00D363D0"/>
    <w:rsid w:val="00D3782E"/>
    <w:rsid w:val="00D56C86"/>
    <w:rsid w:val="00D616C2"/>
    <w:rsid w:val="00D62EBB"/>
    <w:rsid w:val="00D63776"/>
    <w:rsid w:val="00D63E0D"/>
    <w:rsid w:val="00D7496E"/>
    <w:rsid w:val="00D8254E"/>
    <w:rsid w:val="00DA348E"/>
    <w:rsid w:val="00DA7700"/>
    <w:rsid w:val="00DB14A0"/>
    <w:rsid w:val="00DC39C7"/>
    <w:rsid w:val="00DF2209"/>
    <w:rsid w:val="00DF6B9F"/>
    <w:rsid w:val="00DF74A0"/>
    <w:rsid w:val="00DF79C0"/>
    <w:rsid w:val="00E146A8"/>
    <w:rsid w:val="00E14D1E"/>
    <w:rsid w:val="00E15C78"/>
    <w:rsid w:val="00E15F27"/>
    <w:rsid w:val="00E278AA"/>
    <w:rsid w:val="00E27E4D"/>
    <w:rsid w:val="00E52A1D"/>
    <w:rsid w:val="00E61645"/>
    <w:rsid w:val="00E70FEF"/>
    <w:rsid w:val="00E77F1B"/>
    <w:rsid w:val="00E8118A"/>
    <w:rsid w:val="00E90838"/>
    <w:rsid w:val="00EA375A"/>
    <w:rsid w:val="00EB2FA2"/>
    <w:rsid w:val="00EC050F"/>
    <w:rsid w:val="00ED2B11"/>
    <w:rsid w:val="00ED7D13"/>
    <w:rsid w:val="00ED7DE3"/>
    <w:rsid w:val="00EE0D0E"/>
    <w:rsid w:val="00EE60CF"/>
    <w:rsid w:val="00EF2D45"/>
    <w:rsid w:val="00EF5629"/>
    <w:rsid w:val="00EF5D52"/>
    <w:rsid w:val="00EF7057"/>
    <w:rsid w:val="00F00780"/>
    <w:rsid w:val="00F06193"/>
    <w:rsid w:val="00F07FAD"/>
    <w:rsid w:val="00F127A9"/>
    <w:rsid w:val="00F158A3"/>
    <w:rsid w:val="00F16F70"/>
    <w:rsid w:val="00F21AD6"/>
    <w:rsid w:val="00F2386B"/>
    <w:rsid w:val="00F32E15"/>
    <w:rsid w:val="00F41B98"/>
    <w:rsid w:val="00F42090"/>
    <w:rsid w:val="00F4539B"/>
    <w:rsid w:val="00F466FD"/>
    <w:rsid w:val="00F5334A"/>
    <w:rsid w:val="00F55526"/>
    <w:rsid w:val="00F5647F"/>
    <w:rsid w:val="00F57EDE"/>
    <w:rsid w:val="00F60DA3"/>
    <w:rsid w:val="00F62D7B"/>
    <w:rsid w:val="00F70808"/>
    <w:rsid w:val="00F804A3"/>
    <w:rsid w:val="00F94831"/>
    <w:rsid w:val="00FA5E1E"/>
    <w:rsid w:val="00FB02F8"/>
    <w:rsid w:val="00FB0647"/>
    <w:rsid w:val="00FB177B"/>
    <w:rsid w:val="00FB6571"/>
    <w:rsid w:val="00FC36D7"/>
    <w:rsid w:val="00FE0A80"/>
    <w:rsid w:val="00FE115F"/>
    <w:rsid w:val="00FE26D7"/>
    <w:rsid w:val="00FE5338"/>
    <w:rsid w:val="00FE6435"/>
    <w:rsid w:val="00FF0608"/>
    <w:rsid w:val="00FF7899"/>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style="mso-position-vertical-relative:margin" fillcolor="#002395" stroke="f">
      <v:fill color="#002395"/>
      <v:stroke on="f"/>
    </o:shapedefaults>
    <o:shapelayout v:ext="edit">
      <o:idmap v:ext="edit" data="1"/>
    </o:shapelayout>
  </w:shapeDefaults>
  <w:decimalSymbol w:val="."/>
  <w:listSeparator w:val=","/>
  <w14:docId w14:val="6906DB05"/>
  <w15:docId w15:val="{17810C81-2772-4C50-8DB5-0D5B496D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61D0A"/>
    <w:pPr>
      <w:spacing w:after="240"/>
      <w:jc w:val="both"/>
    </w:pPr>
    <w:rPr>
      <w:sz w:val="24"/>
      <w:lang w:val="fr-FR" w:eastAsia="en-US"/>
    </w:rPr>
  </w:style>
  <w:style w:type="paragraph" w:styleId="Heading1">
    <w:name w:val="heading 1"/>
    <w:basedOn w:val="Normal"/>
    <w:next w:val="Text1"/>
    <w:link w:val="Heading1Char"/>
    <w:qFormat/>
    <w:rsid w:val="00577EC6"/>
    <w:pPr>
      <w:keepNext/>
      <w:numPr>
        <w:numId w:val="3"/>
      </w:numPr>
      <w:spacing w:before="240"/>
      <w:outlineLvl w:val="0"/>
    </w:pPr>
    <w:rPr>
      <w:b/>
      <w:smallCaps/>
    </w:rPr>
  </w:style>
  <w:style w:type="paragraph" w:styleId="Heading2">
    <w:name w:val="heading 2"/>
    <w:basedOn w:val="Normal"/>
    <w:next w:val="Text2"/>
    <w:link w:val="Heading2Char"/>
    <w:qFormat/>
    <w:rsid w:val="00F41B98"/>
    <w:pPr>
      <w:keepNext/>
      <w:numPr>
        <w:ilvl w:val="1"/>
        <w:numId w:val="24"/>
      </w:numPr>
      <w:tabs>
        <w:tab w:val="clear" w:pos="709"/>
      </w:tabs>
      <w:spacing w:before="450" w:line="288" w:lineRule="auto"/>
      <w:ind w:left="1049" w:hanging="567"/>
      <w:outlineLvl w:val="1"/>
    </w:pPr>
    <w:rPr>
      <w:b/>
    </w:rPr>
  </w:style>
  <w:style w:type="paragraph" w:styleId="Heading3">
    <w:name w:val="heading 3"/>
    <w:basedOn w:val="Normal"/>
    <w:next w:val="Text3"/>
    <w:link w:val="Heading3Char"/>
    <w:autoRedefine/>
    <w:qFormat/>
    <w:rsid w:val="00F41B98"/>
    <w:pPr>
      <w:keepNext/>
      <w:numPr>
        <w:ilvl w:val="2"/>
        <w:numId w:val="24"/>
      </w:numPr>
      <w:tabs>
        <w:tab w:val="clear" w:pos="3402"/>
      </w:tabs>
      <w:spacing w:before="120" w:after="120" w:line="288" w:lineRule="auto"/>
      <w:ind w:left="1960" w:hanging="826"/>
      <w:outlineLvl w:val="2"/>
    </w:pPr>
    <w:rPr>
      <w:i/>
    </w:rPr>
  </w:style>
  <w:style w:type="paragraph" w:styleId="Heading4">
    <w:name w:val="heading 4"/>
    <w:basedOn w:val="Normal"/>
    <w:next w:val="Text4"/>
    <w:qFormat/>
    <w:rsid w:val="00577EC6"/>
    <w:pPr>
      <w:keepNext/>
      <w:numPr>
        <w:ilvl w:val="3"/>
        <w:numId w:val="3"/>
      </w:numPr>
      <w:outlineLvl w:val="3"/>
    </w:pPr>
  </w:style>
  <w:style w:type="paragraph" w:styleId="Heading5">
    <w:name w:val="heading 5"/>
    <w:basedOn w:val="Normal"/>
    <w:next w:val="Normal"/>
    <w:qFormat/>
    <w:rsid w:val="00461D0A"/>
    <w:pPr>
      <w:tabs>
        <w:tab w:val="num" w:pos="0"/>
      </w:tabs>
      <w:spacing w:before="240" w:after="60"/>
      <w:outlineLvl w:val="4"/>
    </w:pPr>
    <w:rPr>
      <w:rFonts w:ascii="Arial" w:hAnsi="Arial"/>
      <w:sz w:val="22"/>
    </w:rPr>
  </w:style>
  <w:style w:type="paragraph" w:styleId="Heading6">
    <w:name w:val="heading 6"/>
    <w:basedOn w:val="Normal"/>
    <w:next w:val="Normal"/>
    <w:qFormat/>
    <w:rsid w:val="00461D0A"/>
    <w:pPr>
      <w:tabs>
        <w:tab w:val="num" w:pos="0"/>
      </w:tabs>
      <w:spacing w:before="240" w:after="60"/>
      <w:outlineLvl w:val="5"/>
    </w:pPr>
    <w:rPr>
      <w:rFonts w:ascii="Arial" w:hAnsi="Arial"/>
      <w:i/>
      <w:sz w:val="22"/>
    </w:rPr>
  </w:style>
  <w:style w:type="paragraph" w:styleId="Heading7">
    <w:name w:val="heading 7"/>
    <w:basedOn w:val="Normal"/>
    <w:next w:val="Normal"/>
    <w:qFormat/>
    <w:rsid w:val="00461D0A"/>
    <w:pPr>
      <w:tabs>
        <w:tab w:val="num" w:pos="0"/>
      </w:tabs>
      <w:spacing w:before="240" w:after="60"/>
      <w:outlineLvl w:val="6"/>
    </w:pPr>
    <w:rPr>
      <w:rFonts w:ascii="Arial" w:hAnsi="Arial"/>
      <w:sz w:val="20"/>
    </w:rPr>
  </w:style>
  <w:style w:type="paragraph" w:styleId="Heading8">
    <w:name w:val="heading 8"/>
    <w:basedOn w:val="Normal"/>
    <w:next w:val="Normal"/>
    <w:qFormat/>
    <w:rsid w:val="00461D0A"/>
    <w:pPr>
      <w:tabs>
        <w:tab w:val="num" w:pos="0"/>
      </w:tabs>
      <w:spacing w:before="240" w:after="60"/>
      <w:outlineLvl w:val="7"/>
    </w:pPr>
    <w:rPr>
      <w:rFonts w:ascii="Arial" w:hAnsi="Arial"/>
      <w:i/>
      <w:sz w:val="20"/>
    </w:rPr>
  </w:style>
  <w:style w:type="paragraph" w:styleId="Heading9">
    <w:name w:val="heading 9"/>
    <w:basedOn w:val="Normal"/>
    <w:next w:val="Normal"/>
    <w:qFormat/>
    <w:rsid w:val="00461D0A"/>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461D0A"/>
    <w:pPr>
      <w:ind w:left="482"/>
    </w:pPr>
  </w:style>
  <w:style w:type="paragraph" w:customStyle="1" w:styleId="Text2">
    <w:name w:val="Text 2"/>
    <w:basedOn w:val="Normal"/>
    <w:rsid w:val="00461D0A"/>
    <w:pPr>
      <w:tabs>
        <w:tab w:val="left" w:pos="2302"/>
      </w:tabs>
      <w:ind w:left="1202"/>
    </w:pPr>
  </w:style>
  <w:style w:type="paragraph" w:customStyle="1" w:styleId="Text3">
    <w:name w:val="Text 3"/>
    <w:basedOn w:val="Normal"/>
    <w:rsid w:val="00461D0A"/>
    <w:pPr>
      <w:tabs>
        <w:tab w:val="left" w:pos="2302"/>
      </w:tabs>
      <w:ind w:left="1202"/>
    </w:pPr>
  </w:style>
  <w:style w:type="paragraph" w:customStyle="1" w:styleId="Text4">
    <w:name w:val="Text 4"/>
    <w:basedOn w:val="Normal"/>
    <w:rsid w:val="00461D0A"/>
    <w:pPr>
      <w:tabs>
        <w:tab w:val="left" w:pos="2302"/>
      </w:tabs>
      <w:ind w:left="1202"/>
    </w:pPr>
  </w:style>
  <w:style w:type="paragraph" w:customStyle="1" w:styleId="Address">
    <w:name w:val="Address"/>
    <w:basedOn w:val="Normal"/>
    <w:rsid w:val="00461D0A"/>
    <w:pPr>
      <w:spacing w:after="0"/>
      <w:jc w:val="left"/>
    </w:pPr>
  </w:style>
  <w:style w:type="paragraph" w:customStyle="1" w:styleId="AddressTL">
    <w:name w:val="AddressTL"/>
    <w:basedOn w:val="Normal"/>
    <w:next w:val="Normal"/>
    <w:rsid w:val="00461D0A"/>
    <w:pPr>
      <w:spacing w:after="720"/>
      <w:jc w:val="left"/>
    </w:pPr>
  </w:style>
  <w:style w:type="paragraph" w:customStyle="1" w:styleId="AddressTR">
    <w:name w:val="AddressTR"/>
    <w:basedOn w:val="Normal"/>
    <w:next w:val="Normal"/>
    <w:rsid w:val="00461D0A"/>
    <w:pPr>
      <w:spacing w:after="720"/>
      <w:ind w:left="5103"/>
      <w:jc w:val="left"/>
    </w:pPr>
  </w:style>
  <w:style w:type="paragraph" w:styleId="BlockText">
    <w:name w:val="Block Text"/>
    <w:basedOn w:val="Normal"/>
    <w:rsid w:val="00461D0A"/>
    <w:pPr>
      <w:spacing w:after="120"/>
      <w:ind w:left="1440" w:right="1440"/>
    </w:pPr>
  </w:style>
  <w:style w:type="paragraph" w:styleId="BodyText">
    <w:name w:val="Body Text"/>
    <w:aliases w:val="F2 Body Text,Doc,Document,Body Text2,doc,Standard paragraph,Text,BodyText,(Norm),Body Text 12,bt,gl,uvlaka 2,heading3,Body Text - Level 2,1body,BodText,body text,Body Txt,Body Text-10,Body Text Char2,Text Char1,Τίτλος Μελέτης,- TF,-,b.,b,b..."/>
    <w:basedOn w:val="Normal"/>
    <w:link w:val="BodyTextChar"/>
    <w:qFormat/>
    <w:rsid w:val="00CB4C9A"/>
    <w:pPr>
      <w:spacing w:after="120"/>
    </w:pPr>
    <w:rPr>
      <w:rFonts w:ascii="Verdana" w:hAnsi="Verdana"/>
      <w:sz w:val="20"/>
    </w:rPr>
  </w:style>
  <w:style w:type="paragraph" w:styleId="BodyText2">
    <w:name w:val="Body Text 2"/>
    <w:basedOn w:val="Normal"/>
    <w:rsid w:val="00461D0A"/>
    <w:pPr>
      <w:spacing w:after="120" w:line="480" w:lineRule="auto"/>
    </w:pPr>
  </w:style>
  <w:style w:type="paragraph" w:styleId="BodyText3">
    <w:name w:val="Body Text 3"/>
    <w:basedOn w:val="Normal"/>
    <w:rsid w:val="00461D0A"/>
    <w:pPr>
      <w:spacing w:after="120"/>
    </w:pPr>
    <w:rPr>
      <w:sz w:val="16"/>
    </w:rPr>
  </w:style>
  <w:style w:type="paragraph" w:styleId="BodyTextFirstIndent">
    <w:name w:val="Body Text First Indent"/>
    <w:basedOn w:val="BodyText"/>
    <w:rsid w:val="00461D0A"/>
    <w:pPr>
      <w:ind w:firstLine="210"/>
    </w:pPr>
  </w:style>
  <w:style w:type="paragraph" w:styleId="BodyTextIndent">
    <w:name w:val="Body Text Indent"/>
    <w:basedOn w:val="Normal"/>
    <w:rsid w:val="00461D0A"/>
    <w:pPr>
      <w:spacing w:after="120"/>
      <w:ind w:left="283"/>
    </w:pPr>
  </w:style>
  <w:style w:type="paragraph" w:styleId="BodyTextFirstIndent2">
    <w:name w:val="Body Text First Indent 2"/>
    <w:basedOn w:val="BodyTextIndent"/>
    <w:rsid w:val="00461D0A"/>
    <w:pPr>
      <w:ind w:firstLine="210"/>
    </w:pPr>
  </w:style>
  <w:style w:type="paragraph" w:styleId="BodyTextIndent2">
    <w:name w:val="Body Text Indent 2"/>
    <w:basedOn w:val="Normal"/>
    <w:rsid w:val="00461D0A"/>
    <w:pPr>
      <w:spacing w:after="120" w:line="480" w:lineRule="auto"/>
      <w:ind w:left="283"/>
    </w:pPr>
  </w:style>
  <w:style w:type="paragraph" w:styleId="BodyTextIndent3">
    <w:name w:val="Body Text Indent 3"/>
    <w:basedOn w:val="Normal"/>
    <w:rsid w:val="00461D0A"/>
    <w:pPr>
      <w:spacing w:after="120"/>
      <w:ind w:left="283"/>
    </w:pPr>
    <w:rPr>
      <w:sz w:val="16"/>
    </w:rPr>
  </w:style>
  <w:style w:type="paragraph" w:styleId="Caption">
    <w:name w:val="caption"/>
    <w:basedOn w:val="Normal"/>
    <w:next w:val="Normal"/>
    <w:qFormat/>
    <w:rsid w:val="00461D0A"/>
    <w:pPr>
      <w:spacing w:before="120" w:after="120"/>
    </w:pPr>
    <w:rPr>
      <w:b/>
    </w:rPr>
  </w:style>
  <w:style w:type="paragraph" w:customStyle="1" w:styleId="ChapterTitle">
    <w:name w:val="ChapterTitle"/>
    <w:basedOn w:val="Normal"/>
    <w:next w:val="SectionTitle"/>
    <w:rsid w:val="00461D0A"/>
    <w:pPr>
      <w:keepNext/>
      <w:spacing w:after="480"/>
      <w:jc w:val="center"/>
    </w:pPr>
    <w:rPr>
      <w:b/>
      <w:sz w:val="32"/>
    </w:rPr>
  </w:style>
  <w:style w:type="paragraph" w:customStyle="1" w:styleId="SectionTitle">
    <w:name w:val="SectionTitle"/>
    <w:basedOn w:val="Normal"/>
    <w:next w:val="Heading1"/>
    <w:rsid w:val="00461D0A"/>
    <w:pPr>
      <w:keepNext/>
      <w:spacing w:after="480"/>
      <w:jc w:val="center"/>
    </w:pPr>
    <w:rPr>
      <w:b/>
      <w:smallCaps/>
      <w:sz w:val="28"/>
    </w:rPr>
  </w:style>
  <w:style w:type="paragraph" w:styleId="Closing">
    <w:name w:val="Closing"/>
    <w:basedOn w:val="Normal"/>
    <w:rsid w:val="00461D0A"/>
    <w:pPr>
      <w:ind w:left="4252"/>
    </w:pPr>
  </w:style>
  <w:style w:type="paragraph" w:styleId="CommentText">
    <w:name w:val="annotation text"/>
    <w:basedOn w:val="Normal"/>
    <w:link w:val="CommentTextChar"/>
    <w:uiPriority w:val="99"/>
    <w:semiHidden/>
    <w:rsid w:val="00461D0A"/>
    <w:rPr>
      <w:sz w:val="20"/>
    </w:rPr>
  </w:style>
  <w:style w:type="paragraph" w:styleId="Date">
    <w:name w:val="Date"/>
    <w:basedOn w:val="Normal"/>
    <w:next w:val="References"/>
    <w:rsid w:val="00461D0A"/>
    <w:pPr>
      <w:spacing w:after="0"/>
      <w:ind w:left="5103" w:right="-567"/>
      <w:jc w:val="left"/>
    </w:pPr>
  </w:style>
  <w:style w:type="paragraph" w:customStyle="1" w:styleId="References">
    <w:name w:val="References"/>
    <w:basedOn w:val="Normal"/>
    <w:next w:val="AddressTR"/>
    <w:rsid w:val="00461D0A"/>
    <w:pPr>
      <w:ind w:left="5103"/>
      <w:jc w:val="left"/>
    </w:pPr>
    <w:rPr>
      <w:sz w:val="20"/>
    </w:rPr>
  </w:style>
  <w:style w:type="paragraph" w:styleId="DocumentMap">
    <w:name w:val="Document Map"/>
    <w:basedOn w:val="Normal"/>
    <w:semiHidden/>
    <w:rsid w:val="00461D0A"/>
    <w:pPr>
      <w:shd w:val="clear" w:color="auto" w:fill="000080"/>
    </w:pPr>
    <w:rPr>
      <w:rFonts w:ascii="Tahoma" w:hAnsi="Tahoma"/>
    </w:rPr>
  </w:style>
  <w:style w:type="paragraph" w:customStyle="1" w:styleId="DoubSign">
    <w:name w:val="DoubSign"/>
    <w:basedOn w:val="Normal"/>
    <w:next w:val="Enclosures"/>
    <w:rsid w:val="00461D0A"/>
    <w:pPr>
      <w:tabs>
        <w:tab w:val="left" w:pos="5103"/>
      </w:tabs>
      <w:spacing w:before="1200" w:after="0"/>
      <w:jc w:val="left"/>
    </w:pPr>
  </w:style>
  <w:style w:type="paragraph" w:customStyle="1" w:styleId="Enclosures">
    <w:name w:val="Enclosures"/>
    <w:basedOn w:val="Normal"/>
    <w:rsid w:val="00461D0A"/>
    <w:pPr>
      <w:keepNext/>
      <w:keepLines/>
      <w:tabs>
        <w:tab w:val="left" w:pos="5642"/>
      </w:tabs>
      <w:spacing w:before="480" w:after="0"/>
      <w:ind w:left="1191" w:hanging="1191"/>
      <w:jc w:val="left"/>
    </w:pPr>
  </w:style>
  <w:style w:type="paragraph" w:styleId="EndnoteText">
    <w:name w:val="endnote text"/>
    <w:basedOn w:val="Normal"/>
    <w:semiHidden/>
    <w:rsid w:val="00461D0A"/>
    <w:rPr>
      <w:sz w:val="20"/>
    </w:rPr>
  </w:style>
  <w:style w:type="paragraph" w:styleId="EnvelopeAddress">
    <w:name w:val="envelope address"/>
    <w:basedOn w:val="Normal"/>
    <w:rsid w:val="00461D0A"/>
    <w:pPr>
      <w:framePr w:w="7920" w:h="1980" w:hRule="exact" w:hSpace="180" w:wrap="auto" w:hAnchor="page" w:xAlign="center" w:yAlign="bottom"/>
      <w:spacing w:after="0"/>
    </w:pPr>
  </w:style>
  <w:style w:type="paragraph" w:styleId="EnvelopeReturn">
    <w:name w:val="envelope return"/>
    <w:basedOn w:val="Normal"/>
    <w:rsid w:val="00461D0A"/>
    <w:pPr>
      <w:spacing w:after="0"/>
    </w:pPr>
    <w:rPr>
      <w:sz w:val="20"/>
    </w:rPr>
  </w:style>
  <w:style w:type="paragraph" w:styleId="Footer">
    <w:name w:val="footer"/>
    <w:basedOn w:val="Normal"/>
    <w:link w:val="FooterChar"/>
    <w:rsid w:val="00461D0A"/>
    <w:pPr>
      <w:spacing w:after="0"/>
      <w:ind w:right="-567"/>
      <w:jc w:val="left"/>
    </w:pPr>
    <w:rPr>
      <w:rFonts w:ascii="Arial" w:hAnsi="Arial"/>
      <w:sz w:val="16"/>
    </w:rPr>
  </w:style>
  <w:style w:type="paragraph" w:styleId="FootnoteText">
    <w:name w:val="footnote text"/>
    <w:aliases w:val="Schriftart: 9 pt,Schriftart: 10 pt,Schriftart: 8 pt,WB-Fußnotentext,WB-Fußnotentext Char Char,WB-Fußnotentext Char,stile 1,Footnote,Footnote1,Footnote2,Footnote3,Footnote4,Footnote5,Footnote6,Footnote7,Footnote8,Footnote9,Footnote10,Fußno"/>
    <w:basedOn w:val="Normal"/>
    <w:link w:val="FootnoteTextChar"/>
    <w:qFormat/>
    <w:rsid w:val="00461D0A"/>
    <w:pPr>
      <w:ind w:left="357" w:hanging="357"/>
    </w:pPr>
    <w:rPr>
      <w:sz w:val="20"/>
    </w:rPr>
  </w:style>
  <w:style w:type="paragraph" w:styleId="Header">
    <w:name w:val="header"/>
    <w:basedOn w:val="Normal"/>
    <w:link w:val="HeaderChar"/>
    <w:rsid w:val="00461D0A"/>
    <w:pPr>
      <w:tabs>
        <w:tab w:val="center" w:pos="4153"/>
        <w:tab w:val="right" w:pos="8306"/>
      </w:tabs>
    </w:pPr>
  </w:style>
  <w:style w:type="paragraph" w:styleId="Index1">
    <w:name w:val="index 1"/>
    <w:basedOn w:val="Normal"/>
    <w:next w:val="Normal"/>
    <w:autoRedefine/>
    <w:semiHidden/>
    <w:rsid w:val="00461D0A"/>
    <w:pPr>
      <w:ind w:left="240" w:hanging="240"/>
    </w:pPr>
  </w:style>
  <w:style w:type="paragraph" w:styleId="Index2">
    <w:name w:val="index 2"/>
    <w:basedOn w:val="Normal"/>
    <w:next w:val="Normal"/>
    <w:autoRedefine/>
    <w:semiHidden/>
    <w:rsid w:val="00461D0A"/>
    <w:pPr>
      <w:ind w:left="480" w:hanging="240"/>
    </w:pPr>
  </w:style>
  <w:style w:type="paragraph" w:styleId="Index3">
    <w:name w:val="index 3"/>
    <w:basedOn w:val="Normal"/>
    <w:next w:val="Normal"/>
    <w:autoRedefine/>
    <w:semiHidden/>
    <w:rsid w:val="00461D0A"/>
    <w:pPr>
      <w:ind w:left="720" w:hanging="240"/>
    </w:pPr>
  </w:style>
  <w:style w:type="paragraph" w:styleId="Index4">
    <w:name w:val="index 4"/>
    <w:basedOn w:val="Normal"/>
    <w:next w:val="Normal"/>
    <w:autoRedefine/>
    <w:semiHidden/>
    <w:rsid w:val="00461D0A"/>
    <w:pPr>
      <w:ind w:left="960" w:hanging="240"/>
    </w:pPr>
  </w:style>
  <w:style w:type="paragraph" w:styleId="Index5">
    <w:name w:val="index 5"/>
    <w:basedOn w:val="Normal"/>
    <w:next w:val="Normal"/>
    <w:autoRedefine/>
    <w:semiHidden/>
    <w:rsid w:val="00461D0A"/>
    <w:pPr>
      <w:ind w:left="1200" w:hanging="240"/>
    </w:pPr>
  </w:style>
  <w:style w:type="paragraph" w:styleId="Index6">
    <w:name w:val="index 6"/>
    <w:basedOn w:val="Normal"/>
    <w:next w:val="Normal"/>
    <w:autoRedefine/>
    <w:semiHidden/>
    <w:rsid w:val="00461D0A"/>
    <w:pPr>
      <w:ind w:left="1440" w:hanging="240"/>
    </w:pPr>
  </w:style>
  <w:style w:type="paragraph" w:styleId="Index7">
    <w:name w:val="index 7"/>
    <w:basedOn w:val="Normal"/>
    <w:next w:val="Normal"/>
    <w:autoRedefine/>
    <w:semiHidden/>
    <w:rsid w:val="00461D0A"/>
    <w:pPr>
      <w:ind w:left="1680" w:hanging="240"/>
    </w:pPr>
  </w:style>
  <w:style w:type="paragraph" w:styleId="Index8">
    <w:name w:val="index 8"/>
    <w:basedOn w:val="Normal"/>
    <w:next w:val="Normal"/>
    <w:autoRedefine/>
    <w:semiHidden/>
    <w:rsid w:val="00461D0A"/>
    <w:pPr>
      <w:ind w:left="1920" w:hanging="240"/>
    </w:pPr>
  </w:style>
  <w:style w:type="paragraph" w:styleId="Index9">
    <w:name w:val="index 9"/>
    <w:basedOn w:val="Normal"/>
    <w:next w:val="Normal"/>
    <w:autoRedefine/>
    <w:semiHidden/>
    <w:rsid w:val="00461D0A"/>
    <w:pPr>
      <w:ind w:left="2160" w:hanging="240"/>
    </w:pPr>
  </w:style>
  <w:style w:type="paragraph" w:styleId="IndexHeading">
    <w:name w:val="index heading"/>
    <w:basedOn w:val="Normal"/>
    <w:next w:val="Index1"/>
    <w:semiHidden/>
    <w:rsid w:val="00461D0A"/>
    <w:rPr>
      <w:rFonts w:ascii="Arial" w:hAnsi="Arial"/>
      <w:b/>
    </w:rPr>
  </w:style>
  <w:style w:type="paragraph" w:styleId="List">
    <w:name w:val="List"/>
    <w:basedOn w:val="Normal"/>
    <w:rsid w:val="00461D0A"/>
    <w:pPr>
      <w:ind w:left="283" w:hanging="283"/>
    </w:pPr>
  </w:style>
  <w:style w:type="paragraph" w:styleId="List2">
    <w:name w:val="List 2"/>
    <w:basedOn w:val="Normal"/>
    <w:rsid w:val="00461D0A"/>
    <w:pPr>
      <w:ind w:left="566" w:hanging="283"/>
    </w:pPr>
  </w:style>
  <w:style w:type="paragraph" w:styleId="List3">
    <w:name w:val="List 3"/>
    <w:basedOn w:val="Normal"/>
    <w:rsid w:val="00461D0A"/>
    <w:pPr>
      <w:ind w:left="849" w:hanging="283"/>
    </w:pPr>
  </w:style>
  <w:style w:type="paragraph" w:styleId="List4">
    <w:name w:val="List 4"/>
    <w:basedOn w:val="Normal"/>
    <w:rsid w:val="00461D0A"/>
    <w:pPr>
      <w:ind w:left="1132" w:hanging="283"/>
    </w:pPr>
  </w:style>
  <w:style w:type="paragraph" w:styleId="List5">
    <w:name w:val="List 5"/>
    <w:basedOn w:val="Normal"/>
    <w:rsid w:val="00461D0A"/>
    <w:pPr>
      <w:ind w:left="1415" w:hanging="283"/>
    </w:pPr>
  </w:style>
  <w:style w:type="paragraph" w:styleId="ListBullet">
    <w:name w:val="List Bullet"/>
    <w:basedOn w:val="Normal"/>
    <w:rsid w:val="00577EC6"/>
    <w:pPr>
      <w:numPr>
        <w:numId w:val="4"/>
      </w:numPr>
    </w:pPr>
  </w:style>
  <w:style w:type="paragraph" w:styleId="ListBullet2">
    <w:name w:val="List Bullet 2"/>
    <w:basedOn w:val="Text2"/>
    <w:rsid w:val="00577EC6"/>
    <w:pPr>
      <w:numPr>
        <w:numId w:val="6"/>
      </w:numPr>
      <w:tabs>
        <w:tab w:val="clear" w:pos="2302"/>
      </w:tabs>
    </w:pPr>
  </w:style>
  <w:style w:type="paragraph" w:styleId="ListBullet3">
    <w:name w:val="List Bullet 3"/>
    <w:basedOn w:val="Text3"/>
    <w:rsid w:val="00577EC6"/>
    <w:pPr>
      <w:numPr>
        <w:numId w:val="7"/>
      </w:numPr>
      <w:tabs>
        <w:tab w:val="clear" w:pos="2302"/>
      </w:tabs>
    </w:pPr>
  </w:style>
  <w:style w:type="paragraph" w:styleId="ListBullet4">
    <w:name w:val="List Bullet 4"/>
    <w:basedOn w:val="Text4"/>
    <w:rsid w:val="00577EC6"/>
    <w:pPr>
      <w:numPr>
        <w:numId w:val="8"/>
      </w:numPr>
      <w:tabs>
        <w:tab w:val="clear" w:pos="2302"/>
      </w:tabs>
    </w:pPr>
  </w:style>
  <w:style w:type="paragraph" w:styleId="ListBullet5">
    <w:name w:val="List Bullet 5"/>
    <w:basedOn w:val="Normal"/>
    <w:autoRedefine/>
    <w:rsid w:val="00577EC6"/>
    <w:pPr>
      <w:numPr>
        <w:numId w:val="1"/>
      </w:numPr>
    </w:pPr>
  </w:style>
  <w:style w:type="paragraph" w:styleId="ListContinue">
    <w:name w:val="List Continue"/>
    <w:basedOn w:val="Normal"/>
    <w:rsid w:val="00461D0A"/>
    <w:pPr>
      <w:spacing w:after="120"/>
      <w:ind w:left="283"/>
    </w:pPr>
  </w:style>
  <w:style w:type="paragraph" w:styleId="ListContinue2">
    <w:name w:val="List Continue 2"/>
    <w:basedOn w:val="Normal"/>
    <w:rsid w:val="00461D0A"/>
    <w:pPr>
      <w:spacing w:after="120"/>
      <w:ind w:left="566"/>
    </w:pPr>
  </w:style>
  <w:style w:type="paragraph" w:styleId="ListContinue3">
    <w:name w:val="List Continue 3"/>
    <w:basedOn w:val="Normal"/>
    <w:rsid w:val="00461D0A"/>
    <w:pPr>
      <w:spacing w:after="120"/>
      <w:ind w:left="849"/>
    </w:pPr>
  </w:style>
  <w:style w:type="paragraph" w:styleId="ListContinue4">
    <w:name w:val="List Continue 4"/>
    <w:basedOn w:val="Normal"/>
    <w:rsid w:val="00461D0A"/>
    <w:pPr>
      <w:spacing w:after="120"/>
      <w:ind w:left="1132"/>
    </w:pPr>
  </w:style>
  <w:style w:type="paragraph" w:styleId="ListContinue5">
    <w:name w:val="List Continue 5"/>
    <w:basedOn w:val="Normal"/>
    <w:rsid w:val="00461D0A"/>
    <w:pPr>
      <w:spacing w:after="120"/>
      <w:ind w:left="1415"/>
    </w:pPr>
  </w:style>
  <w:style w:type="paragraph" w:styleId="ListNumber">
    <w:name w:val="List Number"/>
    <w:basedOn w:val="Normal"/>
    <w:rsid w:val="00577EC6"/>
    <w:pPr>
      <w:numPr>
        <w:numId w:val="14"/>
      </w:numPr>
    </w:pPr>
  </w:style>
  <w:style w:type="paragraph" w:styleId="ListNumber2">
    <w:name w:val="List Number 2"/>
    <w:basedOn w:val="Text2"/>
    <w:rsid w:val="00577EC6"/>
    <w:pPr>
      <w:numPr>
        <w:numId w:val="16"/>
      </w:numPr>
      <w:tabs>
        <w:tab w:val="clear" w:pos="2302"/>
      </w:tabs>
    </w:pPr>
  </w:style>
  <w:style w:type="paragraph" w:styleId="ListNumber3">
    <w:name w:val="List Number 3"/>
    <w:basedOn w:val="Text3"/>
    <w:rsid w:val="00577EC6"/>
    <w:pPr>
      <w:numPr>
        <w:numId w:val="17"/>
      </w:numPr>
      <w:tabs>
        <w:tab w:val="clear" w:pos="2302"/>
      </w:tabs>
    </w:pPr>
  </w:style>
  <w:style w:type="paragraph" w:styleId="ListNumber4">
    <w:name w:val="List Number 4"/>
    <w:basedOn w:val="Text4"/>
    <w:rsid w:val="00577EC6"/>
    <w:pPr>
      <w:numPr>
        <w:numId w:val="18"/>
      </w:numPr>
      <w:tabs>
        <w:tab w:val="clear" w:pos="2302"/>
      </w:tabs>
    </w:pPr>
  </w:style>
  <w:style w:type="paragraph" w:styleId="ListNumber5">
    <w:name w:val="List Number 5"/>
    <w:basedOn w:val="Normal"/>
    <w:rsid w:val="00577EC6"/>
    <w:pPr>
      <w:numPr>
        <w:numId w:val="2"/>
      </w:numPr>
    </w:pPr>
  </w:style>
  <w:style w:type="paragraph" w:styleId="MacroText">
    <w:name w:val="macro"/>
    <w:semiHidden/>
    <w:rsid w:val="00461D0A"/>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rsid w:val="00461D0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rsid w:val="00461D0A"/>
    <w:pPr>
      <w:ind w:left="720"/>
    </w:pPr>
  </w:style>
  <w:style w:type="paragraph" w:styleId="NoteHeading">
    <w:name w:val="Note Heading"/>
    <w:basedOn w:val="Normal"/>
    <w:next w:val="Normal"/>
    <w:rsid w:val="00461D0A"/>
  </w:style>
  <w:style w:type="paragraph" w:customStyle="1" w:styleId="NoteHead">
    <w:name w:val="NoteHead"/>
    <w:basedOn w:val="Normal"/>
    <w:next w:val="Subject"/>
    <w:rsid w:val="00461D0A"/>
    <w:pPr>
      <w:spacing w:before="720" w:after="720"/>
      <w:jc w:val="center"/>
    </w:pPr>
    <w:rPr>
      <w:b/>
      <w:smallCaps/>
    </w:rPr>
  </w:style>
  <w:style w:type="paragraph" w:customStyle="1" w:styleId="Subject">
    <w:name w:val="Subject"/>
    <w:basedOn w:val="Normal"/>
    <w:next w:val="Normal"/>
    <w:rsid w:val="00461D0A"/>
    <w:pPr>
      <w:spacing w:after="480"/>
      <w:ind w:left="1531" w:hanging="1531"/>
      <w:jc w:val="left"/>
    </w:pPr>
    <w:rPr>
      <w:b/>
    </w:rPr>
  </w:style>
  <w:style w:type="paragraph" w:customStyle="1" w:styleId="NoteList">
    <w:name w:val="NoteList"/>
    <w:basedOn w:val="Normal"/>
    <w:next w:val="Subject"/>
    <w:rsid w:val="00461D0A"/>
    <w:pPr>
      <w:tabs>
        <w:tab w:val="left" w:pos="5823"/>
      </w:tabs>
      <w:spacing w:before="720" w:after="720"/>
      <w:ind w:left="5104" w:hanging="3119"/>
      <w:jc w:val="left"/>
    </w:pPr>
    <w:rPr>
      <w:b/>
      <w:smallCaps/>
    </w:rPr>
  </w:style>
  <w:style w:type="paragraph" w:customStyle="1" w:styleId="NumPar1">
    <w:name w:val="NumPar 1"/>
    <w:basedOn w:val="Heading1"/>
    <w:next w:val="Text1"/>
    <w:rsid w:val="00577EC6"/>
    <w:pPr>
      <w:keepNext w:val="0"/>
      <w:spacing w:before="0"/>
      <w:outlineLvl w:val="9"/>
    </w:pPr>
    <w:rPr>
      <w:b w:val="0"/>
      <w:smallCaps w:val="0"/>
    </w:rPr>
  </w:style>
  <w:style w:type="paragraph" w:customStyle="1" w:styleId="NumPar2">
    <w:name w:val="NumPar 2"/>
    <w:basedOn w:val="Heading2"/>
    <w:next w:val="Text2"/>
    <w:rsid w:val="00577EC6"/>
    <w:pPr>
      <w:keepNext w:val="0"/>
      <w:outlineLvl w:val="9"/>
    </w:pPr>
    <w:rPr>
      <w:b w:val="0"/>
    </w:rPr>
  </w:style>
  <w:style w:type="paragraph" w:customStyle="1" w:styleId="NumPar3">
    <w:name w:val="NumPar 3"/>
    <w:basedOn w:val="Heading3"/>
    <w:next w:val="Text3"/>
    <w:rsid w:val="00577EC6"/>
    <w:pPr>
      <w:keepNext w:val="0"/>
      <w:outlineLvl w:val="9"/>
    </w:pPr>
    <w:rPr>
      <w:i w:val="0"/>
    </w:rPr>
  </w:style>
  <w:style w:type="paragraph" w:customStyle="1" w:styleId="NumPar4">
    <w:name w:val="NumPar 4"/>
    <w:basedOn w:val="Heading4"/>
    <w:next w:val="Text4"/>
    <w:rsid w:val="00577EC6"/>
    <w:pPr>
      <w:keepNext w:val="0"/>
      <w:outlineLvl w:val="9"/>
    </w:pPr>
  </w:style>
  <w:style w:type="paragraph" w:customStyle="1" w:styleId="PartTitle">
    <w:name w:val="PartTitle"/>
    <w:basedOn w:val="Normal"/>
    <w:next w:val="ChapterTitle"/>
    <w:rsid w:val="00461D0A"/>
    <w:pPr>
      <w:keepNext/>
      <w:pageBreakBefore/>
      <w:spacing w:after="480"/>
      <w:jc w:val="center"/>
    </w:pPr>
    <w:rPr>
      <w:b/>
      <w:sz w:val="36"/>
    </w:rPr>
  </w:style>
  <w:style w:type="paragraph" w:styleId="PlainText">
    <w:name w:val="Plain Text"/>
    <w:basedOn w:val="Normal"/>
    <w:rsid w:val="00461D0A"/>
    <w:rPr>
      <w:rFonts w:ascii="Courier New" w:hAnsi="Courier New"/>
      <w:sz w:val="20"/>
    </w:rPr>
  </w:style>
  <w:style w:type="paragraph" w:styleId="Salutation">
    <w:name w:val="Salutation"/>
    <w:basedOn w:val="Normal"/>
    <w:next w:val="Normal"/>
    <w:rsid w:val="00461D0A"/>
  </w:style>
  <w:style w:type="paragraph" w:styleId="Signature">
    <w:name w:val="Signature"/>
    <w:basedOn w:val="Normal"/>
    <w:next w:val="Enclosures"/>
    <w:rsid w:val="00461D0A"/>
    <w:pPr>
      <w:tabs>
        <w:tab w:val="left" w:pos="5103"/>
      </w:tabs>
      <w:spacing w:before="1200" w:after="0"/>
      <w:ind w:left="5103"/>
      <w:jc w:val="center"/>
    </w:pPr>
  </w:style>
  <w:style w:type="paragraph" w:styleId="Subtitle">
    <w:name w:val="Subtitle"/>
    <w:basedOn w:val="Normal"/>
    <w:qFormat/>
    <w:rsid w:val="00461D0A"/>
    <w:pPr>
      <w:spacing w:after="60"/>
      <w:jc w:val="center"/>
      <w:outlineLvl w:val="1"/>
    </w:pPr>
    <w:rPr>
      <w:rFonts w:ascii="Arial" w:hAnsi="Arial"/>
    </w:rPr>
  </w:style>
  <w:style w:type="paragraph" w:customStyle="1" w:styleId="SubTitle1">
    <w:name w:val="SubTitle 1"/>
    <w:basedOn w:val="Normal"/>
    <w:next w:val="SubTitle2"/>
    <w:rsid w:val="00461D0A"/>
    <w:pPr>
      <w:jc w:val="center"/>
    </w:pPr>
    <w:rPr>
      <w:b/>
      <w:sz w:val="40"/>
    </w:rPr>
  </w:style>
  <w:style w:type="paragraph" w:customStyle="1" w:styleId="SubTitle2">
    <w:name w:val="SubTitle 2"/>
    <w:basedOn w:val="Normal"/>
    <w:rsid w:val="00461D0A"/>
    <w:pPr>
      <w:jc w:val="center"/>
    </w:pPr>
    <w:rPr>
      <w:b/>
      <w:sz w:val="32"/>
    </w:rPr>
  </w:style>
  <w:style w:type="paragraph" w:styleId="TableofAuthorities">
    <w:name w:val="table of authorities"/>
    <w:basedOn w:val="Normal"/>
    <w:next w:val="Normal"/>
    <w:semiHidden/>
    <w:rsid w:val="00461D0A"/>
    <w:pPr>
      <w:ind w:left="240" w:hanging="240"/>
    </w:pPr>
  </w:style>
  <w:style w:type="paragraph" w:styleId="TableofFigures">
    <w:name w:val="table of figures"/>
    <w:basedOn w:val="Normal"/>
    <w:next w:val="Normal"/>
    <w:semiHidden/>
    <w:rsid w:val="00461D0A"/>
    <w:pPr>
      <w:ind w:left="480" w:hanging="480"/>
    </w:pPr>
  </w:style>
  <w:style w:type="paragraph" w:styleId="Title">
    <w:name w:val="Title"/>
    <w:basedOn w:val="Normal"/>
    <w:next w:val="SubTitle1"/>
    <w:qFormat/>
    <w:rsid w:val="00461D0A"/>
    <w:pPr>
      <w:spacing w:after="480"/>
      <w:jc w:val="center"/>
    </w:pPr>
    <w:rPr>
      <w:b/>
      <w:kern w:val="28"/>
      <w:sz w:val="48"/>
    </w:rPr>
  </w:style>
  <w:style w:type="paragraph" w:styleId="TOAHeading">
    <w:name w:val="toa heading"/>
    <w:basedOn w:val="Normal"/>
    <w:next w:val="Normal"/>
    <w:semiHidden/>
    <w:rsid w:val="00461D0A"/>
    <w:pPr>
      <w:spacing w:before="120"/>
    </w:pPr>
    <w:rPr>
      <w:rFonts w:ascii="Arial" w:hAnsi="Arial"/>
      <w:b/>
    </w:rPr>
  </w:style>
  <w:style w:type="paragraph" w:styleId="TOC1">
    <w:name w:val="toc 1"/>
    <w:basedOn w:val="Normal"/>
    <w:next w:val="Normal"/>
    <w:uiPriority w:val="39"/>
    <w:rsid w:val="001D2A51"/>
    <w:pPr>
      <w:tabs>
        <w:tab w:val="right" w:leader="dot" w:pos="8640"/>
      </w:tabs>
      <w:spacing w:before="120" w:after="120"/>
      <w:ind w:left="482" w:right="720" w:hanging="482"/>
    </w:pPr>
    <w:rPr>
      <w:rFonts w:ascii="Verdana" w:hAnsi="Verdana"/>
      <w:caps/>
      <w:sz w:val="18"/>
    </w:rPr>
  </w:style>
  <w:style w:type="paragraph" w:styleId="TOC2">
    <w:name w:val="toc 2"/>
    <w:basedOn w:val="Normal"/>
    <w:next w:val="Normal"/>
    <w:uiPriority w:val="39"/>
    <w:rsid w:val="001D2A51"/>
    <w:pPr>
      <w:tabs>
        <w:tab w:val="right" w:leader="dot" w:pos="8640"/>
      </w:tabs>
      <w:spacing w:before="60" w:after="60"/>
      <w:ind w:left="1077" w:right="720" w:hanging="595"/>
    </w:pPr>
    <w:rPr>
      <w:rFonts w:ascii="Verdana" w:hAnsi="Verdana"/>
      <w:sz w:val="18"/>
    </w:rPr>
  </w:style>
  <w:style w:type="paragraph" w:styleId="TOC3">
    <w:name w:val="toc 3"/>
    <w:basedOn w:val="Normal"/>
    <w:next w:val="Normal"/>
    <w:uiPriority w:val="39"/>
    <w:qFormat/>
    <w:rsid w:val="00461D0A"/>
    <w:pPr>
      <w:tabs>
        <w:tab w:val="right" w:leader="dot" w:pos="8640"/>
      </w:tabs>
      <w:spacing w:before="60" w:after="60"/>
      <w:ind w:left="1916" w:right="720" w:hanging="839"/>
    </w:pPr>
  </w:style>
  <w:style w:type="paragraph" w:styleId="TOC4">
    <w:name w:val="toc 4"/>
    <w:basedOn w:val="Normal"/>
    <w:next w:val="Normal"/>
    <w:semiHidden/>
    <w:rsid w:val="00461D0A"/>
    <w:pPr>
      <w:tabs>
        <w:tab w:val="right" w:leader="dot" w:pos="8641"/>
      </w:tabs>
      <w:spacing w:before="60" w:after="60"/>
      <w:ind w:left="2880" w:right="720" w:hanging="964"/>
    </w:pPr>
  </w:style>
  <w:style w:type="paragraph" w:styleId="TOC5">
    <w:name w:val="toc 5"/>
    <w:basedOn w:val="Normal"/>
    <w:next w:val="Normal"/>
    <w:semiHidden/>
    <w:rsid w:val="00461D0A"/>
    <w:pPr>
      <w:tabs>
        <w:tab w:val="right" w:leader="dot" w:pos="8641"/>
      </w:tabs>
      <w:spacing w:before="240" w:after="120"/>
      <w:ind w:right="720"/>
    </w:pPr>
    <w:rPr>
      <w:caps/>
    </w:rPr>
  </w:style>
  <w:style w:type="paragraph" w:styleId="TOC6">
    <w:name w:val="toc 6"/>
    <w:basedOn w:val="Normal"/>
    <w:next w:val="Normal"/>
    <w:autoRedefine/>
    <w:uiPriority w:val="39"/>
    <w:rsid w:val="00461D0A"/>
    <w:pPr>
      <w:ind w:left="1200"/>
    </w:pPr>
  </w:style>
  <w:style w:type="paragraph" w:styleId="TOC7">
    <w:name w:val="toc 7"/>
    <w:basedOn w:val="Normal"/>
    <w:next w:val="Normal"/>
    <w:autoRedefine/>
    <w:semiHidden/>
    <w:rsid w:val="00461D0A"/>
    <w:pPr>
      <w:ind w:left="1440"/>
    </w:pPr>
  </w:style>
  <w:style w:type="paragraph" w:styleId="TOC8">
    <w:name w:val="toc 8"/>
    <w:basedOn w:val="Normal"/>
    <w:next w:val="Normal"/>
    <w:autoRedefine/>
    <w:semiHidden/>
    <w:rsid w:val="00461D0A"/>
    <w:pPr>
      <w:ind w:left="1680"/>
    </w:pPr>
  </w:style>
  <w:style w:type="paragraph" w:styleId="TOC9">
    <w:name w:val="toc 9"/>
    <w:basedOn w:val="Normal"/>
    <w:next w:val="Normal"/>
    <w:autoRedefine/>
    <w:semiHidden/>
    <w:rsid w:val="00461D0A"/>
    <w:pPr>
      <w:ind w:left="1920"/>
    </w:pPr>
  </w:style>
  <w:style w:type="paragraph" w:customStyle="1" w:styleId="YReferences">
    <w:name w:val="YReferences"/>
    <w:basedOn w:val="Normal"/>
    <w:next w:val="Normal"/>
    <w:rsid w:val="00461D0A"/>
    <w:pPr>
      <w:spacing w:after="480"/>
      <w:ind w:left="1531" w:hanging="1531"/>
    </w:pPr>
  </w:style>
  <w:style w:type="paragraph" w:customStyle="1" w:styleId="ListBullet1">
    <w:name w:val="List Bullet 1"/>
    <w:basedOn w:val="Text1"/>
    <w:rsid w:val="00577EC6"/>
    <w:pPr>
      <w:numPr>
        <w:numId w:val="5"/>
      </w:numPr>
    </w:pPr>
  </w:style>
  <w:style w:type="paragraph" w:customStyle="1" w:styleId="ListDash">
    <w:name w:val="List Dash"/>
    <w:basedOn w:val="Normal"/>
    <w:rsid w:val="00577EC6"/>
    <w:pPr>
      <w:numPr>
        <w:numId w:val="9"/>
      </w:numPr>
    </w:pPr>
  </w:style>
  <w:style w:type="paragraph" w:customStyle="1" w:styleId="ListDash1">
    <w:name w:val="List Dash 1"/>
    <w:basedOn w:val="Text1"/>
    <w:rsid w:val="00577EC6"/>
    <w:pPr>
      <w:numPr>
        <w:numId w:val="10"/>
      </w:numPr>
    </w:pPr>
  </w:style>
  <w:style w:type="paragraph" w:customStyle="1" w:styleId="ListDash2">
    <w:name w:val="List Dash 2"/>
    <w:basedOn w:val="Text2"/>
    <w:rsid w:val="00577EC6"/>
    <w:pPr>
      <w:numPr>
        <w:numId w:val="11"/>
      </w:numPr>
      <w:tabs>
        <w:tab w:val="clear" w:pos="2302"/>
      </w:tabs>
    </w:pPr>
  </w:style>
  <w:style w:type="paragraph" w:customStyle="1" w:styleId="ListDash3">
    <w:name w:val="List Dash 3"/>
    <w:basedOn w:val="Text3"/>
    <w:rsid w:val="00577EC6"/>
    <w:pPr>
      <w:numPr>
        <w:numId w:val="12"/>
      </w:numPr>
      <w:tabs>
        <w:tab w:val="clear" w:pos="2302"/>
      </w:tabs>
    </w:pPr>
  </w:style>
  <w:style w:type="paragraph" w:customStyle="1" w:styleId="ListDash4">
    <w:name w:val="List Dash 4"/>
    <w:basedOn w:val="Text4"/>
    <w:rsid w:val="00577EC6"/>
    <w:pPr>
      <w:numPr>
        <w:numId w:val="13"/>
      </w:numPr>
      <w:tabs>
        <w:tab w:val="clear" w:pos="2302"/>
      </w:tabs>
    </w:pPr>
  </w:style>
  <w:style w:type="paragraph" w:customStyle="1" w:styleId="ListNumberLevel2">
    <w:name w:val="List Number (Level 2)"/>
    <w:basedOn w:val="Normal"/>
    <w:rsid w:val="00577EC6"/>
    <w:pPr>
      <w:numPr>
        <w:ilvl w:val="1"/>
        <w:numId w:val="14"/>
      </w:numPr>
    </w:pPr>
  </w:style>
  <w:style w:type="paragraph" w:customStyle="1" w:styleId="ListNumberLevel3">
    <w:name w:val="List Number (Level 3)"/>
    <w:basedOn w:val="Normal"/>
    <w:rsid w:val="00577EC6"/>
    <w:pPr>
      <w:numPr>
        <w:ilvl w:val="2"/>
        <w:numId w:val="14"/>
      </w:numPr>
    </w:pPr>
  </w:style>
  <w:style w:type="paragraph" w:customStyle="1" w:styleId="ListNumberLevel4">
    <w:name w:val="List Number (Level 4)"/>
    <w:basedOn w:val="Normal"/>
    <w:rsid w:val="00577EC6"/>
    <w:pPr>
      <w:numPr>
        <w:ilvl w:val="3"/>
        <w:numId w:val="14"/>
      </w:numPr>
    </w:pPr>
  </w:style>
  <w:style w:type="paragraph" w:customStyle="1" w:styleId="ListNumber1">
    <w:name w:val="List Number 1"/>
    <w:basedOn w:val="Text1"/>
    <w:rsid w:val="00577EC6"/>
    <w:pPr>
      <w:numPr>
        <w:numId w:val="15"/>
      </w:numPr>
    </w:pPr>
  </w:style>
  <w:style w:type="paragraph" w:customStyle="1" w:styleId="ListNumber1Level2">
    <w:name w:val="List Number 1 (Level 2)"/>
    <w:basedOn w:val="Text1"/>
    <w:rsid w:val="00577EC6"/>
    <w:pPr>
      <w:numPr>
        <w:ilvl w:val="1"/>
        <w:numId w:val="15"/>
      </w:numPr>
    </w:pPr>
  </w:style>
  <w:style w:type="paragraph" w:customStyle="1" w:styleId="ListNumber1Level3">
    <w:name w:val="List Number 1 (Level 3)"/>
    <w:basedOn w:val="Text1"/>
    <w:rsid w:val="00577EC6"/>
    <w:pPr>
      <w:numPr>
        <w:ilvl w:val="2"/>
        <w:numId w:val="15"/>
      </w:numPr>
    </w:pPr>
  </w:style>
  <w:style w:type="paragraph" w:customStyle="1" w:styleId="ListNumber1Level4">
    <w:name w:val="List Number 1 (Level 4)"/>
    <w:basedOn w:val="Text1"/>
    <w:rsid w:val="00577EC6"/>
    <w:pPr>
      <w:numPr>
        <w:ilvl w:val="3"/>
        <w:numId w:val="15"/>
      </w:numPr>
    </w:pPr>
  </w:style>
  <w:style w:type="paragraph" w:customStyle="1" w:styleId="ListNumber2Level2">
    <w:name w:val="List Number 2 (Level 2)"/>
    <w:basedOn w:val="Text2"/>
    <w:rsid w:val="00577EC6"/>
    <w:pPr>
      <w:numPr>
        <w:ilvl w:val="1"/>
        <w:numId w:val="16"/>
      </w:numPr>
      <w:tabs>
        <w:tab w:val="clear" w:pos="2302"/>
      </w:tabs>
    </w:pPr>
  </w:style>
  <w:style w:type="paragraph" w:customStyle="1" w:styleId="ListNumber2Level3">
    <w:name w:val="List Number 2 (Level 3)"/>
    <w:basedOn w:val="Text2"/>
    <w:rsid w:val="00577EC6"/>
    <w:pPr>
      <w:numPr>
        <w:ilvl w:val="2"/>
        <w:numId w:val="16"/>
      </w:numPr>
      <w:tabs>
        <w:tab w:val="clear" w:pos="2302"/>
      </w:tabs>
    </w:pPr>
  </w:style>
  <w:style w:type="paragraph" w:customStyle="1" w:styleId="ListNumber2Level4">
    <w:name w:val="List Number 2 (Level 4)"/>
    <w:basedOn w:val="Text2"/>
    <w:rsid w:val="00577EC6"/>
    <w:pPr>
      <w:numPr>
        <w:ilvl w:val="3"/>
        <w:numId w:val="16"/>
      </w:numPr>
      <w:tabs>
        <w:tab w:val="clear" w:pos="2302"/>
      </w:tabs>
    </w:pPr>
  </w:style>
  <w:style w:type="paragraph" w:customStyle="1" w:styleId="ListNumber3Level2">
    <w:name w:val="List Number 3 (Level 2)"/>
    <w:basedOn w:val="Text3"/>
    <w:rsid w:val="00577EC6"/>
    <w:pPr>
      <w:numPr>
        <w:ilvl w:val="1"/>
        <w:numId w:val="17"/>
      </w:numPr>
      <w:tabs>
        <w:tab w:val="clear" w:pos="2302"/>
      </w:tabs>
    </w:pPr>
  </w:style>
  <w:style w:type="paragraph" w:customStyle="1" w:styleId="ListNumber3Level3">
    <w:name w:val="List Number 3 (Level 3)"/>
    <w:basedOn w:val="Text3"/>
    <w:rsid w:val="00577EC6"/>
    <w:pPr>
      <w:numPr>
        <w:ilvl w:val="2"/>
        <w:numId w:val="17"/>
      </w:numPr>
      <w:tabs>
        <w:tab w:val="clear" w:pos="2302"/>
      </w:tabs>
    </w:pPr>
  </w:style>
  <w:style w:type="paragraph" w:customStyle="1" w:styleId="ListNumber3Level4">
    <w:name w:val="List Number 3 (Level 4)"/>
    <w:basedOn w:val="Text3"/>
    <w:rsid w:val="00577EC6"/>
    <w:pPr>
      <w:numPr>
        <w:ilvl w:val="3"/>
        <w:numId w:val="17"/>
      </w:numPr>
      <w:tabs>
        <w:tab w:val="clear" w:pos="2302"/>
      </w:tabs>
    </w:pPr>
  </w:style>
  <w:style w:type="paragraph" w:customStyle="1" w:styleId="ListNumber4Level2">
    <w:name w:val="List Number 4 (Level 2)"/>
    <w:basedOn w:val="Text4"/>
    <w:rsid w:val="00577EC6"/>
    <w:pPr>
      <w:numPr>
        <w:ilvl w:val="1"/>
        <w:numId w:val="18"/>
      </w:numPr>
      <w:tabs>
        <w:tab w:val="clear" w:pos="2302"/>
      </w:tabs>
    </w:pPr>
  </w:style>
  <w:style w:type="paragraph" w:customStyle="1" w:styleId="ListNumber4Level3">
    <w:name w:val="List Number 4 (Level 3)"/>
    <w:basedOn w:val="Text4"/>
    <w:rsid w:val="00577EC6"/>
    <w:pPr>
      <w:numPr>
        <w:ilvl w:val="2"/>
        <w:numId w:val="18"/>
      </w:numPr>
      <w:tabs>
        <w:tab w:val="clear" w:pos="2302"/>
      </w:tabs>
    </w:pPr>
  </w:style>
  <w:style w:type="paragraph" w:customStyle="1" w:styleId="ListNumber4Level4">
    <w:name w:val="List Number 4 (Level 4)"/>
    <w:basedOn w:val="Text4"/>
    <w:rsid w:val="00577EC6"/>
    <w:pPr>
      <w:numPr>
        <w:ilvl w:val="3"/>
        <w:numId w:val="18"/>
      </w:numPr>
      <w:tabs>
        <w:tab w:val="clear" w:pos="2302"/>
      </w:tabs>
    </w:pPr>
  </w:style>
  <w:style w:type="paragraph" w:customStyle="1" w:styleId="TOCHeading1">
    <w:name w:val="TOC Heading1"/>
    <w:basedOn w:val="Normal"/>
    <w:next w:val="Normal"/>
    <w:rsid w:val="00461D0A"/>
    <w:pPr>
      <w:keepNext/>
      <w:spacing w:before="240"/>
      <w:jc w:val="center"/>
    </w:pPr>
    <w:rPr>
      <w:b/>
    </w:rPr>
  </w:style>
  <w:style w:type="paragraph" w:customStyle="1" w:styleId="Contact">
    <w:name w:val="Contact"/>
    <w:basedOn w:val="Normal"/>
    <w:next w:val="Normal"/>
    <w:rsid w:val="00461D0A"/>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aliases w:val=" Char1"/>
    <w:uiPriority w:val="99"/>
    <w:rsid w:val="006914AD"/>
    <w:rPr>
      <w:color w:val="0000FF"/>
      <w:u w:val="single"/>
    </w:rPr>
  </w:style>
  <w:style w:type="character" w:styleId="FootnoteReference">
    <w:name w:val="footnote reference"/>
    <w:aliases w:val="Footnote Reference Superscript,Footnote symbol,Footnote reference number,Times 10 Point,Exposant 3 Point,Ref,de nota al pie,note TESI,SUPERS,EN Footnote text,EN Footnote Reference,Footnote Reference Number,E FNZ,-E Fußnotenzeichen,B2"/>
    <w:qFormat/>
    <w:rsid w:val="00CD08CF"/>
    <w:rPr>
      <w:vertAlign w:val="superscript"/>
    </w:rPr>
  </w:style>
  <w:style w:type="table" w:styleId="ColorfulGrid-Accent3">
    <w:name w:val="Colorful Grid Accent 3"/>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Tms Rmn" w:hAnsi="Tms Rmn"/>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
    <w:rsid w:val="00E52A1D"/>
    <w:rPr>
      <w:rFonts w:ascii="Tahoma" w:hAnsi="Tahoma" w:cs="Tahoma"/>
      <w:sz w:val="16"/>
      <w:szCs w:val="16"/>
    </w:rPr>
  </w:style>
  <w:style w:type="paragraph" w:customStyle="1" w:styleId="DocumentTitle">
    <w:name w:val="Document Title"/>
    <w:basedOn w:val="Normal"/>
    <w:link w:val="DocumentTitleChar"/>
    <w:qFormat/>
    <w:rsid w:val="001E6AC6"/>
    <w:pPr>
      <w:jc w:val="center"/>
    </w:pPr>
    <w:rPr>
      <w:rFonts w:ascii="Verdana" w:hAnsi="Verdana"/>
      <w:b/>
      <w:sz w:val="52"/>
    </w:rPr>
  </w:style>
  <w:style w:type="paragraph" w:customStyle="1" w:styleId="Footerapproval">
    <w:name w:val="Footer approval"/>
    <w:basedOn w:val="Footer"/>
    <w:link w:val="ApprovalfooterChar"/>
    <w:qFormat/>
    <w:rsid w:val="00ED7D13"/>
    <w:pPr>
      <w:tabs>
        <w:tab w:val="left" w:pos="6804"/>
      </w:tabs>
    </w:pPr>
    <w:rPr>
      <w:rFonts w:ascii="Verdana" w:hAnsi="Verdana"/>
      <w:sz w:val="13"/>
      <w:lang w:val="fr-BE"/>
    </w:rPr>
  </w:style>
  <w:style w:type="character" w:customStyle="1" w:styleId="DocumentTitleChar">
    <w:name w:val="Document Title Char"/>
    <w:link w:val="DocumentTitle"/>
    <w:rsid w:val="001E6AC6"/>
    <w:rPr>
      <w:rFonts w:ascii="Verdana" w:hAnsi="Verdana"/>
      <w:b/>
      <w:sz w:val="52"/>
      <w:lang w:val="fr-FR" w:eastAsia="en-US"/>
    </w:rPr>
  </w:style>
  <w:style w:type="paragraph" w:customStyle="1" w:styleId="FooterDate">
    <w:name w:val="Footer Date"/>
    <w:basedOn w:val="Footer"/>
    <w:link w:val="FooterDateChar"/>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3C7A25"/>
    <w:rPr>
      <w:b w:val="0"/>
      <w:sz w:val="32"/>
      <w:szCs w:val="36"/>
      <w:lang w:val="en-GB"/>
    </w:rPr>
  </w:style>
  <w:style w:type="paragraph" w:customStyle="1" w:styleId="HeaderTitle">
    <w:name w:val="Header Title"/>
    <w:basedOn w:val="Normal"/>
    <w:link w:val="HeaderTitleChar"/>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3C7A25"/>
    <w:rPr>
      <w:rFonts w:ascii="Verdana" w:hAnsi="Verdana"/>
      <w:sz w:val="32"/>
      <w:szCs w:val="36"/>
      <w:lang w:val="en-GB" w:eastAsia="en-US"/>
    </w:rPr>
  </w:style>
  <w:style w:type="paragraph" w:customStyle="1" w:styleId="Bulletpoint1">
    <w:name w:val="Bullet point1"/>
    <w:basedOn w:val="NormalIndent"/>
    <w:link w:val="Bulletpoint1Char"/>
    <w:qFormat/>
    <w:rsid w:val="007F3473"/>
    <w:pPr>
      <w:numPr>
        <w:numId w:val="20"/>
      </w:numPr>
      <w:spacing w:after="120"/>
      <w:jc w:val="left"/>
    </w:pPr>
    <w:rPr>
      <w:rFonts w:ascii="Verdana" w:hAnsi="Verdana"/>
      <w:sz w:val="18"/>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TOC1"/>
    <w:link w:val="HeadingChar"/>
    <w:qFormat/>
    <w:rsid w:val="009370CD"/>
    <w:pPr>
      <w:widowControl w:val="0"/>
      <w:autoSpaceDE w:val="0"/>
      <w:autoSpaceDN w:val="0"/>
      <w:adjustRightInd w:val="0"/>
      <w:spacing w:after="0"/>
      <w:ind w:left="0" w:firstLine="0"/>
      <w:jc w:val="left"/>
    </w:pPr>
    <w:rPr>
      <w:b/>
      <w:sz w:val="20"/>
      <w:u w:val="singl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F3473"/>
    <w:rPr>
      <w:rFonts w:ascii="Verdana" w:hAnsi="Verdana"/>
      <w:sz w:val="18"/>
      <w:lang w:val="fr-FR" w:eastAsia="en-US"/>
    </w:rPr>
  </w:style>
  <w:style w:type="paragraph" w:customStyle="1" w:styleId="BulletPoint2">
    <w:name w:val="Bullet Point 2"/>
    <w:basedOn w:val="NormalIndent"/>
    <w:link w:val="BulletPoint2Char"/>
    <w:qFormat/>
    <w:rsid w:val="00577EC6"/>
    <w:pPr>
      <w:numPr>
        <w:numId w:val="19"/>
      </w:numPr>
      <w:spacing w:after="120"/>
      <w:ind w:left="1077" w:hanging="357"/>
      <w:jc w:val="left"/>
    </w:pPr>
    <w:rPr>
      <w:rFonts w:ascii="Verdana" w:hAnsi="Verdana"/>
      <w:sz w:val="18"/>
    </w:rPr>
  </w:style>
  <w:style w:type="character" w:customStyle="1" w:styleId="HeadingChar">
    <w:name w:val="Heading Char"/>
    <w:link w:val="Heading"/>
    <w:rsid w:val="00B14205"/>
    <w:rPr>
      <w:rFonts w:ascii="Verdana" w:hAnsi="Verdana"/>
      <w:b/>
      <w:caps/>
      <w:u w:val="single"/>
      <w:lang w:val="fr-FR"/>
    </w:rPr>
  </w:style>
  <w:style w:type="paragraph" w:customStyle="1" w:styleId="Body">
    <w:name w:val="Body"/>
    <w:basedOn w:val="Normal"/>
    <w:link w:val="BodyChar"/>
    <w:qFormat/>
    <w:rsid w:val="00CB4C9A"/>
    <w:pPr>
      <w:spacing w:before="100" w:beforeAutospacing="1" w:after="100" w:afterAutospacing="1" w:line="288" w:lineRule="auto"/>
    </w:pPr>
    <w:rPr>
      <w:rFonts w:ascii="Verdana" w:hAnsi="Verdana"/>
      <w:sz w:val="20"/>
    </w:rPr>
  </w:style>
  <w:style w:type="character" w:customStyle="1" w:styleId="BulletPoint2Char">
    <w:name w:val="Bullet Point 2 Char"/>
    <w:link w:val="BulletPoint2"/>
    <w:rsid w:val="00577EC6"/>
    <w:rPr>
      <w:rFonts w:ascii="Verdana" w:hAnsi="Verdana"/>
      <w:sz w:val="18"/>
      <w:lang w:val="fr-FR" w:eastAsia="en-US"/>
    </w:rPr>
  </w:style>
  <w:style w:type="paragraph" w:customStyle="1" w:styleId="Heading20">
    <w:name w:val="Heading2"/>
    <w:basedOn w:val="Title2"/>
    <w:link w:val="Heading2Char0"/>
    <w:qFormat/>
    <w:rsid w:val="009370CD"/>
    <w:pPr>
      <w:numPr>
        <w:numId w:val="0"/>
      </w:numPr>
    </w:pPr>
    <w:rPr>
      <w:rFonts w:ascii="Verdana" w:hAnsi="Verdana"/>
      <w:b/>
      <w:i/>
    </w:rPr>
  </w:style>
  <w:style w:type="character" w:customStyle="1" w:styleId="BodyChar">
    <w:name w:val="Body Char"/>
    <w:link w:val="Body"/>
    <w:rsid w:val="00CB4C9A"/>
    <w:rPr>
      <w:rFonts w:ascii="Verdana" w:hAnsi="Verdana"/>
      <w:lang w:val="fr-FR" w:eastAsia="en-US"/>
    </w:rPr>
  </w:style>
  <w:style w:type="table" w:styleId="TableGrid">
    <w:name w:val="Table Grid"/>
    <w:aliases w:val="Document Table"/>
    <w:basedOn w:val="TableNormal"/>
    <w:uiPriority w:val="39"/>
    <w:rsid w:val="007F3473"/>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00AEF0"/>
      </w:tcPr>
    </w:tblStylePr>
  </w:style>
  <w:style w:type="character" w:customStyle="1" w:styleId="Heading2Char0">
    <w:name w:val="Heading2 Char"/>
    <w:link w:val="Heading20"/>
    <w:rsid w:val="009370CD"/>
    <w:rPr>
      <w:rFonts w:ascii="Verdana" w:hAnsi="Verdana"/>
      <w:b/>
      <w:i/>
      <w:sz w:val="24"/>
      <w:lang w:val="fr-FR" w:eastAsia="en-US"/>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oterDocument">
    <w:name w:val="Footer Document"/>
    <w:basedOn w:val="Body"/>
    <w:link w:val="FooterDocumentChar"/>
    <w:rsid w:val="00F5647F"/>
    <w:pPr>
      <w:spacing w:after="0"/>
    </w:pPr>
    <w:rPr>
      <w:i/>
      <w:noProof/>
      <w:sz w:val="13"/>
      <w:lang w:val="en-US"/>
    </w:rPr>
  </w:style>
  <w:style w:type="character" w:customStyle="1" w:styleId="FooterDocumentChar">
    <w:name w:val="Footer Document Char"/>
    <w:link w:val="FooterDocument"/>
    <w:rsid w:val="00F5647F"/>
    <w:rPr>
      <w:rFonts w:ascii="Verdana" w:hAnsi="Verdana"/>
      <w:i/>
      <w:noProof/>
      <w:sz w:val="13"/>
      <w:lang w:val="en-US" w:eastAsia="en-US"/>
    </w:rPr>
  </w:style>
  <w:style w:type="paragraph" w:styleId="TOCHeading">
    <w:name w:val="TOC Heading"/>
    <w:basedOn w:val="Heading1"/>
    <w:next w:val="Normal"/>
    <w:uiPriority w:val="39"/>
    <w:unhideWhenUsed/>
    <w:qFormat/>
    <w:rsid w:val="000A7FCF"/>
    <w:pPr>
      <w:keepLines/>
      <w:numPr>
        <w:numId w:val="0"/>
      </w:numPr>
      <w:spacing w:before="480" w:after="0" w:line="276" w:lineRule="auto"/>
      <w:jc w:val="left"/>
      <w:outlineLvl w:val="9"/>
    </w:pPr>
    <w:rPr>
      <w:rFonts w:asciiTheme="majorHAnsi" w:eastAsiaTheme="majorEastAsia" w:hAnsiTheme="majorHAnsi" w:cstheme="majorBidi"/>
      <w:bCs/>
      <w:smallCaps w:val="0"/>
      <w:color w:val="365F91" w:themeColor="accent1" w:themeShade="BF"/>
      <w:sz w:val="28"/>
      <w:szCs w:val="28"/>
      <w:lang w:val="en-US"/>
    </w:rPr>
  </w:style>
  <w:style w:type="paragraph" w:customStyle="1" w:styleId="Title2">
    <w:name w:val="Title 2"/>
    <w:basedOn w:val="Normal"/>
    <w:rsid w:val="00B14205"/>
    <w:pPr>
      <w:numPr>
        <w:numId w:val="21"/>
      </w:numPr>
    </w:pPr>
  </w:style>
  <w:style w:type="paragraph" w:customStyle="1" w:styleId="Subtitle0">
    <w:name w:val="Subtitle_"/>
    <w:basedOn w:val="TOC2"/>
    <w:link w:val="SubtitleChar"/>
    <w:qFormat/>
    <w:rsid w:val="001D2A51"/>
    <w:pPr>
      <w:ind w:left="0" w:firstLine="0"/>
    </w:pPr>
    <w:rPr>
      <w:b/>
      <w:i/>
      <w:sz w:val="20"/>
    </w:rPr>
  </w:style>
  <w:style w:type="character" w:customStyle="1" w:styleId="SubtitleChar">
    <w:name w:val="Subtitle_ Char"/>
    <w:basedOn w:val="Heading2Char0"/>
    <w:link w:val="Subtitle0"/>
    <w:rsid w:val="001D2A51"/>
    <w:rPr>
      <w:rFonts w:ascii="Verdana" w:hAnsi="Verdana"/>
      <w:b/>
      <w:i/>
      <w:sz w:val="24"/>
      <w:lang w:val="fr-FR" w:eastAsia="en-US"/>
    </w:rPr>
  </w:style>
  <w:style w:type="paragraph" w:customStyle="1" w:styleId="HeadingBody">
    <w:name w:val="Heading Body"/>
    <w:basedOn w:val="Normal"/>
    <w:link w:val="HeadingBodyChar"/>
    <w:qFormat/>
    <w:rsid w:val="001D2A51"/>
    <w:pPr>
      <w:spacing w:after="120"/>
    </w:pPr>
    <w:rPr>
      <w:rFonts w:ascii="Verdana" w:hAnsi="Verdana"/>
      <w:b/>
      <w:sz w:val="20"/>
      <w:szCs w:val="18"/>
      <w:lang w:val="en-GB"/>
    </w:rPr>
  </w:style>
  <w:style w:type="paragraph" w:customStyle="1" w:styleId="Titlepublication">
    <w:name w:val="Title publication"/>
    <w:basedOn w:val="Normal"/>
    <w:link w:val="TitlepublicationChar"/>
    <w:qFormat/>
    <w:rsid w:val="001D2A51"/>
    <w:pPr>
      <w:jc w:val="center"/>
    </w:pPr>
    <w:rPr>
      <w:rFonts w:ascii="Verdana" w:hAnsi="Verdana"/>
      <w:b/>
      <w:color w:val="FF0000"/>
      <w:sz w:val="52"/>
      <w:szCs w:val="52"/>
      <w:lang w:val="en-GB"/>
    </w:rPr>
  </w:style>
  <w:style w:type="character" w:customStyle="1" w:styleId="HeadingBodyChar">
    <w:name w:val="Heading Body Char"/>
    <w:basedOn w:val="DefaultParagraphFont"/>
    <w:link w:val="HeadingBody"/>
    <w:rsid w:val="001D2A51"/>
    <w:rPr>
      <w:rFonts w:ascii="Verdana" w:hAnsi="Verdana"/>
      <w:b/>
      <w:szCs w:val="18"/>
      <w:lang w:val="en-GB" w:eastAsia="en-US"/>
    </w:rPr>
  </w:style>
  <w:style w:type="paragraph" w:customStyle="1" w:styleId="Subtitlepublication">
    <w:name w:val="Subtitle publication"/>
    <w:basedOn w:val="Normal"/>
    <w:link w:val="SubtitlepublicationChar"/>
    <w:qFormat/>
    <w:rsid w:val="003C7A25"/>
    <w:pPr>
      <w:jc w:val="center"/>
    </w:pPr>
    <w:rPr>
      <w:rFonts w:ascii="Verdana" w:hAnsi="Verdana"/>
      <w:b/>
      <w:i/>
      <w:color w:val="FF0000"/>
      <w:sz w:val="32"/>
      <w:lang w:val="en-GB"/>
    </w:rPr>
  </w:style>
  <w:style w:type="character" w:customStyle="1" w:styleId="TitlepublicationChar">
    <w:name w:val="Title publication Char"/>
    <w:basedOn w:val="DefaultParagraphFont"/>
    <w:link w:val="Titlepublication"/>
    <w:rsid w:val="001D2A51"/>
    <w:rPr>
      <w:rFonts w:ascii="Verdana" w:hAnsi="Verdana"/>
      <w:b/>
      <w:color w:val="FF0000"/>
      <w:sz w:val="52"/>
      <w:szCs w:val="52"/>
      <w:lang w:val="en-GB" w:eastAsia="en-US"/>
    </w:rPr>
  </w:style>
  <w:style w:type="paragraph" w:customStyle="1" w:styleId="Editorname">
    <w:name w:val="Editor name"/>
    <w:basedOn w:val="Normal"/>
    <w:link w:val="EditornameChar"/>
    <w:qFormat/>
    <w:rsid w:val="001D2A51"/>
    <w:pPr>
      <w:jc w:val="center"/>
    </w:pPr>
    <w:rPr>
      <w:rFonts w:ascii="Verdana" w:hAnsi="Verdana"/>
      <w:color w:val="FF0000"/>
      <w:lang w:val="en-GB"/>
    </w:rPr>
  </w:style>
  <w:style w:type="character" w:customStyle="1" w:styleId="SubtitlepublicationChar">
    <w:name w:val="Subtitle publication Char"/>
    <w:basedOn w:val="DefaultParagraphFont"/>
    <w:link w:val="Subtitlepublication"/>
    <w:rsid w:val="003C7A25"/>
    <w:rPr>
      <w:rFonts w:ascii="Verdana" w:hAnsi="Verdana"/>
      <w:b/>
      <w:i/>
      <w:color w:val="FF0000"/>
      <w:sz w:val="32"/>
      <w:lang w:val="en-GB" w:eastAsia="en-US"/>
    </w:rPr>
  </w:style>
  <w:style w:type="paragraph" w:customStyle="1" w:styleId="Backcoversummary">
    <w:name w:val="Backcover_summary"/>
    <w:basedOn w:val="Normal"/>
    <w:link w:val="BackcoversummaryChar"/>
    <w:qFormat/>
    <w:rsid w:val="001D2A51"/>
    <w:rPr>
      <w:rFonts w:ascii="Verdana" w:hAnsi="Verdana"/>
      <w:color w:val="FF0000"/>
      <w:lang w:val="en-GB"/>
    </w:rPr>
  </w:style>
  <w:style w:type="character" w:customStyle="1" w:styleId="EditornameChar">
    <w:name w:val="Editor name Char"/>
    <w:basedOn w:val="DefaultParagraphFont"/>
    <w:link w:val="Editorname"/>
    <w:rsid w:val="001D2A51"/>
    <w:rPr>
      <w:rFonts w:ascii="Verdana" w:hAnsi="Verdana"/>
      <w:color w:val="FF0000"/>
      <w:sz w:val="24"/>
      <w:lang w:val="en-GB" w:eastAsia="en-US"/>
    </w:rPr>
  </w:style>
  <w:style w:type="paragraph" w:customStyle="1" w:styleId="Backcovercategory">
    <w:name w:val="Backcover_category"/>
    <w:basedOn w:val="Normal"/>
    <w:link w:val="BackcovercategoryChar"/>
    <w:qFormat/>
    <w:rsid w:val="001D2A51"/>
    <w:pPr>
      <w:ind w:right="28"/>
    </w:pPr>
    <w:rPr>
      <w:rFonts w:ascii="Verdana" w:hAnsi="Verdana"/>
      <w:i/>
      <w:color w:val="FF0000"/>
      <w:sz w:val="18"/>
      <w:lang w:val="en-GB"/>
    </w:rPr>
  </w:style>
  <w:style w:type="character" w:customStyle="1" w:styleId="BackcoversummaryChar">
    <w:name w:val="Backcover_summary Char"/>
    <w:basedOn w:val="DefaultParagraphFont"/>
    <w:link w:val="Backcoversummary"/>
    <w:rsid w:val="001D2A51"/>
    <w:rPr>
      <w:rFonts w:ascii="Verdana" w:hAnsi="Verdana"/>
      <w:color w:val="FF0000"/>
      <w:sz w:val="24"/>
      <w:lang w:val="en-GB" w:eastAsia="en-US"/>
    </w:rPr>
  </w:style>
  <w:style w:type="character" w:customStyle="1" w:styleId="BackcovercategoryChar">
    <w:name w:val="Backcover_category Char"/>
    <w:basedOn w:val="DefaultParagraphFont"/>
    <w:link w:val="Backcovercategory"/>
    <w:rsid w:val="001D2A51"/>
    <w:rPr>
      <w:rFonts w:ascii="Verdana" w:hAnsi="Verdana"/>
      <w:i/>
      <w:color w:val="FF0000"/>
      <w:sz w:val="18"/>
      <w:lang w:val="en-GB" w:eastAsia="en-US"/>
    </w:rPr>
  </w:style>
  <w:style w:type="numbering" w:customStyle="1" w:styleId="Style2">
    <w:name w:val="Style2"/>
    <w:basedOn w:val="NoList"/>
    <w:rsid w:val="00131875"/>
    <w:pPr>
      <w:numPr>
        <w:numId w:val="22"/>
      </w:numPr>
    </w:pPr>
  </w:style>
  <w:style w:type="paragraph" w:customStyle="1" w:styleId="Recipient">
    <w:name w:val="Recipient"/>
    <w:basedOn w:val="BodyText"/>
    <w:rsid w:val="0012020F"/>
    <w:pPr>
      <w:spacing w:after="240" w:line="288" w:lineRule="auto"/>
    </w:pPr>
    <w:rPr>
      <w:rFonts w:ascii="Arial" w:hAnsi="Arial"/>
      <w:sz w:val="16"/>
      <w:szCs w:val="24"/>
      <w:lang w:val="en-GB" w:eastAsia="en-GB"/>
    </w:rPr>
  </w:style>
  <w:style w:type="paragraph" w:customStyle="1" w:styleId="OfficeAddress">
    <w:name w:val="OfficeAddress"/>
    <w:basedOn w:val="BodyText"/>
    <w:rsid w:val="0012020F"/>
    <w:pPr>
      <w:spacing w:after="240" w:line="288" w:lineRule="auto"/>
    </w:pPr>
    <w:rPr>
      <w:rFonts w:ascii="Arial" w:hAnsi="Arial"/>
      <w:sz w:val="16"/>
      <w:szCs w:val="24"/>
      <w:lang w:val="en-GB" w:eastAsia="en-GB"/>
    </w:rPr>
  </w:style>
  <w:style w:type="paragraph" w:customStyle="1" w:styleId="ContactDetails">
    <w:name w:val="ContactDetails"/>
    <w:basedOn w:val="BodyText"/>
    <w:rsid w:val="0012020F"/>
    <w:pPr>
      <w:tabs>
        <w:tab w:val="left" w:pos="318"/>
      </w:tabs>
      <w:spacing w:after="240" w:line="288" w:lineRule="auto"/>
    </w:pPr>
    <w:rPr>
      <w:rFonts w:ascii="Arial" w:hAnsi="Arial"/>
      <w:b/>
      <w:sz w:val="16"/>
      <w:szCs w:val="24"/>
      <w:lang w:val="en-GB" w:eastAsia="en-GB"/>
    </w:rPr>
  </w:style>
  <w:style w:type="paragraph" w:styleId="Quote">
    <w:name w:val="Quote"/>
    <w:basedOn w:val="BodyText"/>
    <w:next w:val="BodyText"/>
    <w:link w:val="QuoteChar"/>
    <w:qFormat/>
    <w:rsid w:val="0012020F"/>
    <w:pPr>
      <w:spacing w:before="240" w:after="240" w:line="288" w:lineRule="auto"/>
    </w:pPr>
    <w:rPr>
      <w:i/>
      <w:szCs w:val="24"/>
      <w:lang w:val="en-GB" w:eastAsia="en-GB"/>
    </w:rPr>
  </w:style>
  <w:style w:type="character" w:customStyle="1" w:styleId="QuoteChar">
    <w:name w:val="Quote Char"/>
    <w:basedOn w:val="DefaultParagraphFont"/>
    <w:link w:val="Quote"/>
    <w:rsid w:val="0012020F"/>
    <w:rPr>
      <w:i/>
      <w:szCs w:val="24"/>
      <w:lang w:val="en-GB" w:eastAsia="en-GB"/>
    </w:rPr>
  </w:style>
  <w:style w:type="paragraph" w:customStyle="1" w:styleId="RegisteredOffice">
    <w:name w:val="RegisteredOffice"/>
    <w:basedOn w:val="BodyText"/>
    <w:rsid w:val="0012020F"/>
    <w:pPr>
      <w:spacing w:after="240"/>
    </w:pPr>
    <w:rPr>
      <w:rFonts w:ascii="Arial" w:hAnsi="Arial"/>
      <w:color w:val="FFFFFF"/>
      <w:sz w:val="14"/>
      <w:szCs w:val="24"/>
      <w:lang w:val="en-GB" w:eastAsia="en-GB"/>
    </w:rPr>
  </w:style>
  <w:style w:type="paragraph" w:customStyle="1" w:styleId="BlueArrowhead">
    <w:name w:val="BlueArrowhead"/>
    <w:basedOn w:val="BodyText"/>
    <w:rsid w:val="0012020F"/>
    <w:pPr>
      <w:spacing w:after="240"/>
      <w:jc w:val="right"/>
    </w:pPr>
    <w:rPr>
      <w:rFonts w:ascii="Arial" w:hAnsi="Arial"/>
      <w:noProof/>
      <w:color w:val="0033CC"/>
      <w:position w:val="8"/>
      <w:sz w:val="16"/>
      <w:szCs w:val="16"/>
      <w:lang w:val="en-GB" w:eastAsia="en-GB"/>
    </w:rPr>
  </w:style>
  <w:style w:type="paragraph" w:customStyle="1" w:styleId="BodyTextnumbered">
    <w:name w:val="Body Text (numbered)"/>
    <w:basedOn w:val="BodyText"/>
    <w:rsid w:val="0012020F"/>
    <w:pPr>
      <w:numPr>
        <w:numId w:val="23"/>
      </w:numPr>
      <w:spacing w:after="240" w:line="288" w:lineRule="auto"/>
    </w:pPr>
    <w:rPr>
      <w:rFonts w:ascii="Arial" w:hAnsi="Arial"/>
      <w:szCs w:val="24"/>
      <w:lang w:val="en-GB" w:eastAsia="en-GB"/>
    </w:rPr>
  </w:style>
  <w:style w:type="paragraph" w:customStyle="1" w:styleId="Blockquote">
    <w:name w:val="Block quote"/>
    <w:basedOn w:val="BodyText"/>
    <w:next w:val="BodyText"/>
    <w:rsid w:val="0012020F"/>
    <w:pPr>
      <w:shd w:val="clear" w:color="auto" w:fill="E6E6E6"/>
      <w:spacing w:before="240" w:after="240" w:line="288" w:lineRule="auto"/>
    </w:pPr>
    <w:rPr>
      <w:rFonts w:ascii="Arial" w:hAnsi="Arial"/>
      <w:b/>
      <w:i/>
      <w:szCs w:val="24"/>
      <w:lang w:val="en-GB" w:eastAsia="en-GB"/>
    </w:rPr>
  </w:style>
  <w:style w:type="paragraph" w:customStyle="1" w:styleId="Headingnonumber">
    <w:name w:val="Heading no number"/>
    <w:basedOn w:val="Heading1"/>
    <w:next w:val="BodyText"/>
    <w:rsid w:val="0012020F"/>
    <w:pPr>
      <w:keepNext w:val="0"/>
      <w:pageBreakBefore/>
      <w:numPr>
        <w:numId w:val="0"/>
      </w:numPr>
      <w:pBdr>
        <w:bottom w:val="single" w:sz="8" w:space="1" w:color="999999"/>
      </w:pBdr>
      <w:tabs>
        <w:tab w:val="left" w:pos="851"/>
      </w:tabs>
      <w:spacing w:before="0" w:after="360" w:line="288" w:lineRule="auto"/>
      <w:outlineLvl w:val="9"/>
    </w:pPr>
    <w:rPr>
      <w:rFonts w:ascii="Arial" w:hAnsi="Arial" w:cs="Arial"/>
      <w:smallCaps w:val="0"/>
      <w:color w:val="003C64"/>
      <w:sz w:val="40"/>
      <w:szCs w:val="44"/>
      <w:lang w:val="en-GB" w:eastAsia="en-GB"/>
    </w:rPr>
  </w:style>
  <w:style w:type="paragraph" w:customStyle="1" w:styleId="Annex">
    <w:name w:val="Annex"/>
    <w:basedOn w:val="BodyText"/>
    <w:next w:val="Subtitle"/>
    <w:rsid w:val="0012020F"/>
    <w:pPr>
      <w:pageBreakBefore/>
      <w:spacing w:before="4000" w:after="240"/>
      <w:ind w:left="1985"/>
      <w:jc w:val="left"/>
    </w:pPr>
    <w:rPr>
      <w:rFonts w:ascii="Arial" w:hAnsi="Arial"/>
      <w:b/>
      <w:color w:val="003C64"/>
      <w:sz w:val="40"/>
      <w:szCs w:val="40"/>
      <w:lang w:val="en-GB" w:eastAsia="en-GB"/>
    </w:rPr>
  </w:style>
  <w:style w:type="paragraph" w:customStyle="1" w:styleId="AnnexSubtitle">
    <w:name w:val="Annex Subtitle"/>
    <w:basedOn w:val="Subtitle"/>
    <w:rsid w:val="0012020F"/>
    <w:pPr>
      <w:spacing w:before="120" w:line="288" w:lineRule="auto"/>
      <w:ind w:left="3402"/>
      <w:jc w:val="left"/>
      <w:outlineLvl w:val="9"/>
    </w:pPr>
    <w:rPr>
      <w:rFonts w:cs="Arial"/>
      <w:color w:val="003C64"/>
      <w:szCs w:val="24"/>
      <w:lang w:val="en-GB" w:eastAsia="en-GB"/>
    </w:rPr>
  </w:style>
  <w:style w:type="paragraph" w:customStyle="1" w:styleId="Source">
    <w:name w:val="Source"/>
    <w:basedOn w:val="BodyText"/>
    <w:next w:val="BodyText"/>
    <w:rsid w:val="0012020F"/>
    <w:rPr>
      <w:rFonts w:ascii="Arial" w:hAnsi="Arial"/>
      <w:i/>
      <w:sz w:val="18"/>
      <w:lang w:val="en-GB"/>
    </w:rPr>
  </w:style>
  <w:style w:type="paragraph" w:customStyle="1" w:styleId="Tableheader">
    <w:name w:val="Table header"/>
    <w:basedOn w:val="BodyText"/>
    <w:rsid w:val="0012020F"/>
    <w:pPr>
      <w:spacing w:after="0"/>
    </w:pPr>
    <w:rPr>
      <w:rFonts w:ascii="Arial" w:hAnsi="Arial"/>
      <w:color w:val="FFFFFF"/>
      <w:lang w:val="en-GB"/>
    </w:rPr>
  </w:style>
  <w:style w:type="paragraph" w:customStyle="1" w:styleId="Tabletext">
    <w:name w:val="Table text"/>
    <w:basedOn w:val="BodyText"/>
    <w:link w:val="TabletextChar"/>
    <w:rsid w:val="0012020F"/>
    <w:pPr>
      <w:spacing w:after="0"/>
    </w:pPr>
    <w:rPr>
      <w:rFonts w:ascii="Arial" w:hAnsi="Arial"/>
      <w:lang w:val="en-GB"/>
    </w:rPr>
  </w:style>
  <w:style w:type="paragraph" w:customStyle="1" w:styleId="Landscapefooter">
    <w:name w:val="Landscape footer"/>
    <w:basedOn w:val="Footer"/>
    <w:rsid w:val="0012020F"/>
    <w:pPr>
      <w:tabs>
        <w:tab w:val="center" w:pos="7371"/>
        <w:tab w:val="right" w:pos="14402"/>
      </w:tabs>
      <w:spacing w:line="288" w:lineRule="auto"/>
      <w:ind w:right="0"/>
      <w:jc w:val="center"/>
    </w:pPr>
    <w:rPr>
      <w:b/>
      <w:szCs w:val="24"/>
      <w:lang w:val="en-GB" w:eastAsia="en-GB"/>
    </w:rPr>
  </w:style>
  <w:style w:type="paragraph" w:customStyle="1" w:styleId="Tabledata">
    <w:name w:val="Table data"/>
    <w:basedOn w:val="Tabletext"/>
    <w:rsid w:val="0012020F"/>
    <w:pPr>
      <w:jc w:val="center"/>
    </w:pPr>
  </w:style>
  <w:style w:type="paragraph" w:customStyle="1" w:styleId="Tabledecimaltab">
    <w:name w:val="Table decimal tab"/>
    <w:basedOn w:val="Tabledata"/>
    <w:rsid w:val="0012020F"/>
    <w:pPr>
      <w:tabs>
        <w:tab w:val="decimal" w:pos="851"/>
      </w:tabs>
      <w:jc w:val="left"/>
    </w:pPr>
  </w:style>
  <w:style w:type="paragraph" w:customStyle="1" w:styleId="Listroman">
    <w:name w:val="List roman"/>
    <w:rsid w:val="0012020F"/>
    <w:pPr>
      <w:numPr>
        <w:numId w:val="25"/>
      </w:numPr>
      <w:tabs>
        <w:tab w:val="clear" w:pos="1418"/>
      </w:tabs>
      <w:spacing w:line="288" w:lineRule="auto"/>
      <w:ind w:left="1004"/>
    </w:pPr>
    <w:rPr>
      <w:rFonts w:ascii="Arial" w:hAnsi="Arial"/>
      <w:sz w:val="24"/>
      <w:szCs w:val="24"/>
      <w:lang w:val="en-GB" w:eastAsia="en-GB"/>
    </w:rPr>
  </w:style>
  <w:style w:type="paragraph" w:customStyle="1" w:styleId="Listalpha">
    <w:name w:val="List alpha"/>
    <w:basedOn w:val="Listroman"/>
    <w:rsid w:val="0012020F"/>
    <w:pPr>
      <w:numPr>
        <w:ilvl w:val="1"/>
      </w:numPr>
      <w:tabs>
        <w:tab w:val="clear" w:pos="1701"/>
      </w:tabs>
      <w:ind w:left="1288" w:hanging="284"/>
    </w:pPr>
  </w:style>
  <w:style w:type="paragraph" w:customStyle="1" w:styleId="CVheading">
    <w:name w:val="CV heading"/>
    <w:basedOn w:val="BodyText"/>
    <w:next w:val="BodyText"/>
    <w:rsid w:val="0012020F"/>
    <w:pPr>
      <w:pBdr>
        <w:bottom w:val="single" w:sz="8" w:space="1" w:color="999999"/>
      </w:pBdr>
      <w:spacing w:after="360" w:line="288" w:lineRule="auto"/>
      <w:ind w:firstLine="1134"/>
    </w:pPr>
    <w:rPr>
      <w:rFonts w:ascii="Arial" w:hAnsi="Arial"/>
      <w:b/>
      <w:sz w:val="40"/>
      <w:szCs w:val="24"/>
      <w:lang w:val="en-GB" w:eastAsia="en-GB"/>
    </w:rPr>
  </w:style>
  <w:style w:type="paragraph" w:customStyle="1" w:styleId="Annexheading2">
    <w:name w:val="Annex heading 2"/>
    <w:basedOn w:val="BodyText"/>
    <w:next w:val="BodyText"/>
    <w:rsid w:val="0012020F"/>
    <w:pPr>
      <w:pBdr>
        <w:bottom w:val="single" w:sz="8" w:space="1" w:color="999999"/>
      </w:pBdr>
      <w:spacing w:before="450" w:after="360" w:line="288" w:lineRule="auto"/>
    </w:pPr>
    <w:rPr>
      <w:rFonts w:ascii="Arial" w:hAnsi="Arial"/>
      <w:b/>
      <w:color w:val="003C64"/>
      <w:sz w:val="40"/>
      <w:szCs w:val="24"/>
      <w:lang w:val="en-GB" w:eastAsia="en-GB"/>
    </w:rPr>
  </w:style>
  <w:style w:type="paragraph" w:customStyle="1" w:styleId="Annexheading3">
    <w:name w:val="Annex heading 3"/>
    <w:basedOn w:val="BodyText"/>
    <w:next w:val="BodyText"/>
    <w:rsid w:val="0012020F"/>
    <w:pPr>
      <w:spacing w:before="120" w:line="288" w:lineRule="auto"/>
    </w:pPr>
    <w:rPr>
      <w:rFonts w:ascii="Arial" w:hAnsi="Arial"/>
      <w:szCs w:val="24"/>
      <w:lang w:val="en-GB" w:eastAsia="en-GB"/>
    </w:rPr>
  </w:style>
  <w:style w:type="paragraph" w:customStyle="1" w:styleId="CVSubheading">
    <w:name w:val="CV Subheading"/>
    <w:basedOn w:val="BodyText"/>
    <w:next w:val="BodyText"/>
    <w:rsid w:val="0012020F"/>
    <w:pPr>
      <w:spacing w:after="0" w:line="288" w:lineRule="auto"/>
    </w:pPr>
    <w:rPr>
      <w:rFonts w:ascii="Arial" w:hAnsi="Arial"/>
      <w:b/>
      <w:szCs w:val="24"/>
      <w:lang w:val="en-GB" w:eastAsia="en-GB"/>
    </w:rPr>
  </w:style>
  <w:style w:type="character" w:styleId="CommentReference">
    <w:name w:val="annotation reference"/>
    <w:basedOn w:val="DefaultParagraphFont"/>
    <w:uiPriority w:val="99"/>
    <w:semiHidden/>
    <w:rsid w:val="0012020F"/>
    <w:rPr>
      <w:sz w:val="16"/>
      <w:szCs w:val="16"/>
    </w:rPr>
  </w:style>
  <w:style w:type="table" w:customStyle="1" w:styleId="ecTable">
    <w:name w:val="ec Table"/>
    <w:basedOn w:val="TableNormal"/>
    <w:rsid w:val="0012020F"/>
    <w:rPr>
      <w:rFonts w:ascii="Arial" w:hAnsi="Arial"/>
      <w:lang w:val="en-GB" w:eastAsia="en-GB"/>
    </w:rPr>
    <w:tblP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
    <w:tcPr>
      <w:shd w:val="clear" w:color="auto" w:fill="DBDBE0"/>
    </w:tcPr>
    <w:tblStylePr w:type="firstRow">
      <w:rPr>
        <w:b/>
      </w:rPr>
      <w:tblPr/>
      <w:tcPr>
        <w:shd w:val="clear" w:color="auto" w:fill="003C64"/>
      </w:tcPr>
    </w:tblStylePr>
  </w:style>
  <w:style w:type="paragraph" w:styleId="NormalWeb">
    <w:name w:val="Normal (Web)"/>
    <w:basedOn w:val="Normal"/>
    <w:uiPriority w:val="99"/>
    <w:unhideWhenUsed/>
    <w:rsid w:val="0012020F"/>
    <w:pPr>
      <w:spacing w:before="100" w:beforeAutospacing="1" w:after="100" w:afterAutospacing="1"/>
      <w:jc w:val="left"/>
    </w:pPr>
    <w:rPr>
      <w:rFonts w:eastAsiaTheme="minorHAnsi"/>
      <w:szCs w:val="24"/>
      <w:lang w:val="en-GB" w:eastAsia="en-GB"/>
    </w:rPr>
  </w:style>
  <w:style w:type="character" w:styleId="Strong">
    <w:name w:val="Strong"/>
    <w:basedOn w:val="DefaultParagraphFont"/>
    <w:uiPriority w:val="22"/>
    <w:qFormat/>
    <w:rsid w:val="0012020F"/>
    <w:rPr>
      <w:b/>
      <w:bCs/>
    </w:rPr>
  </w:style>
  <w:style w:type="paragraph" w:styleId="CommentSubject">
    <w:name w:val="annotation subject"/>
    <w:basedOn w:val="CommentText"/>
    <w:next w:val="CommentText"/>
    <w:link w:val="CommentSubjectChar"/>
    <w:rsid w:val="0012020F"/>
    <w:pPr>
      <w:spacing w:after="0"/>
      <w:jc w:val="left"/>
    </w:pPr>
    <w:rPr>
      <w:rFonts w:ascii="Arial" w:hAnsi="Arial"/>
      <w:b/>
      <w:bCs/>
      <w:lang w:val="en-GB" w:eastAsia="en-GB"/>
    </w:rPr>
  </w:style>
  <w:style w:type="character" w:customStyle="1" w:styleId="CommentTextChar">
    <w:name w:val="Comment Text Char"/>
    <w:basedOn w:val="DefaultParagraphFont"/>
    <w:link w:val="CommentText"/>
    <w:uiPriority w:val="99"/>
    <w:semiHidden/>
    <w:rsid w:val="0012020F"/>
    <w:rPr>
      <w:lang w:val="fr-FR" w:eastAsia="en-US"/>
    </w:rPr>
  </w:style>
  <w:style w:type="character" w:customStyle="1" w:styleId="CommentSubjectChar">
    <w:name w:val="Comment Subject Char"/>
    <w:basedOn w:val="CommentTextChar"/>
    <w:link w:val="CommentSubject"/>
    <w:rsid w:val="0012020F"/>
    <w:rPr>
      <w:rFonts w:ascii="Arial" w:hAnsi="Arial"/>
      <w:b/>
      <w:bCs/>
      <w:lang w:val="en-GB" w:eastAsia="en-GB"/>
    </w:rPr>
  </w:style>
  <w:style w:type="character" w:customStyle="1" w:styleId="BalloonTextChar">
    <w:name w:val="Balloon Text Char"/>
    <w:basedOn w:val="DefaultParagraphFont"/>
    <w:link w:val="BalloonText"/>
    <w:rsid w:val="0012020F"/>
    <w:rPr>
      <w:rFonts w:ascii="Tahoma" w:hAnsi="Tahoma" w:cs="Tahoma"/>
      <w:sz w:val="16"/>
      <w:szCs w:val="16"/>
      <w:lang w:val="fr-FR" w:eastAsia="en-US"/>
    </w:rPr>
  </w:style>
  <w:style w:type="character" w:customStyle="1" w:styleId="apple-converted-space">
    <w:name w:val="apple-converted-space"/>
    <w:basedOn w:val="DefaultParagraphFont"/>
    <w:rsid w:val="0012020F"/>
  </w:style>
  <w:style w:type="paragraph" w:customStyle="1" w:styleId="TableText0">
    <w:name w:val="TableText"/>
    <w:basedOn w:val="Normal"/>
    <w:uiPriority w:val="15"/>
    <w:qFormat/>
    <w:rsid w:val="0012020F"/>
    <w:pPr>
      <w:spacing w:after="120" w:line="220" w:lineRule="atLeast"/>
      <w:jc w:val="left"/>
    </w:pPr>
    <w:rPr>
      <w:rFonts w:ascii="Arial" w:eastAsiaTheme="minorHAnsi" w:hAnsi="Arial"/>
      <w:sz w:val="18"/>
      <w:szCs w:val="24"/>
      <w:lang w:val="en-GB"/>
    </w:rPr>
  </w:style>
  <w:style w:type="paragraph" w:customStyle="1" w:styleId="TableTitle">
    <w:name w:val="TableTitle"/>
    <w:basedOn w:val="TableText0"/>
    <w:uiPriority w:val="14"/>
    <w:qFormat/>
    <w:rsid w:val="0012020F"/>
    <w:pPr>
      <w:spacing w:after="0"/>
    </w:pPr>
    <w:rPr>
      <w:rFonts w:ascii="Calibri" w:hAnsi="Calibri"/>
      <w:b/>
      <w:color w:val="0067AC"/>
    </w:rPr>
  </w:style>
  <w:style w:type="character" w:customStyle="1" w:styleId="TabletextChar">
    <w:name w:val="Table text Char"/>
    <w:basedOn w:val="DefaultParagraphFont"/>
    <w:link w:val="Tabletext"/>
    <w:locked/>
    <w:rsid w:val="0012020F"/>
    <w:rPr>
      <w:rFonts w:ascii="Arial" w:hAnsi="Arial"/>
      <w:lang w:val="en-GB" w:eastAsia="en-US"/>
    </w:rPr>
  </w:style>
  <w:style w:type="character" w:customStyle="1" w:styleId="Heading1Char">
    <w:name w:val="Heading 1 Char"/>
    <w:basedOn w:val="DefaultParagraphFont"/>
    <w:link w:val="Heading1"/>
    <w:rsid w:val="0012020F"/>
    <w:rPr>
      <w:b/>
      <w:smallCaps/>
      <w:sz w:val="24"/>
      <w:lang w:val="fr-FR" w:eastAsia="en-US"/>
    </w:rPr>
  </w:style>
  <w:style w:type="character" w:customStyle="1" w:styleId="Heading3Char">
    <w:name w:val="Heading 3 Char"/>
    <w:basedOn w:val="DefaultParagraphFont"/>
    <w:link w:val="Heading3"/>
    <w:rsid w:val="00F41B98"/>
    <w:rPr>
      <w:i/>
      <w:sz w:val="24"/>
      <w:lang w:val="fr-FR" w:eastAsia="en-US"/>
    </w:rPr>
  </w:style>
  <w:style w:type="paragraph" w:customStyle="1" w:styleId="BTBullet3">
    <w:name w:val="BTBullet3"/>
    <w:basedOn w:val="Normal"/>
    <w:uiPriority w:val="6"/>
    <w:qFormat/>
    <w:rsid w:val="0012020F"/>
    <w:pPr>
      <w:numPr>
        <w:numId w:val="26"/>
      </w:numPr>
      <w:spacing w:after="0" w:line="240" w:lineRule="atLeast"/>
    </w:pPr>
    <w:rPr>
      <w:rFonts w:ascii="Arial" w:eastAsiaTheme="minorHAnsi" w:hAnsi="Arial"/>
      <w:sz w:val="20"/>
      <w:szCs w:val="24"/>
      <w:lang w:val="en-GB"/>
    </w:rPr>
  </w:style>
  <w:style w:type="character" w:customStyle="1" w:styleId="FootnoteTextChar">
    <w:name w:val="Footnote Text Char"/>
    <w:aliases w:val="Schriftart: 9 pt Char,Schriftart: 10 pt Char,Schriftart: 8 pt Char,WB-Fußnotentext Char1,WB-Fußnotentext Char Char Char,WB-Fußnotentext Char Char1,stile 1 Char,Footnote Char,Footnote1 Char,Footnote2 Char,Footnote3 Char,Footnote4 Char"/>
    <w:basedOn w:val="DefaultParagraphFont"/>
    <w:link w:val="FootnoteText"/>
    <w:rsid w:val="0012020F"/>
    <w:rPr>
      <w:lang w:val="fr-FR" w:eastAsia="en-US"/>
    </w:rPr>
  </w:style>
  <w:style w:type="character" w:customStyle="1" w:styleId="BodyTextChar">
    <w:name w:val="Body Text Char"/>
    <w:aliases w:val="F2 Body Text Char,Doc Char,Document Char,Body Text2 Char,doc Char,Standard paragraph Char,Text Char,BodyText Char,(Norm) Char,Body Text 12 Char,bt Char,gl Char,uvlaka 2 Char,heading3 Char,Body Text - Level 2 Char,1body Char,BodText Char"/>
    <w:basedOn w:val="DefaultParagraphFont"/>
    <w:link w:val="BodyText"/>
    <w:rsid w:val="00CB4C9A"/>
    <w:rPr>
      <w:rFonts w:ascii="Verdana" w:hAnsi="Verdana"/>
      <w:lang w:val="fr-FR" w:eastAsia="en-US"/>
    </w:rPr>
  </w:style>
  <w:style w:type="paragraph" w:customStyle="1" w:styleId="Default">
    <w:name w:val="Default"/>
    <w:uiPriority w:val="99"/>
    <w:rsid w:val="0012020F"/>
    <w:pPr>
      <w:autoSpaceDE w:val="0"/>
      <w:autoSpaceDN w:val="0"/>
      <w:adjustRightInd w:val="0"/>
    </w:pPr>
    <w:rPr>
      <w:rFonts w:ascii="Verdana" w:eastAsiaTheme="minorHAnsi" w:hAnsi="Verdana" w:cs="Verdana"/>
      <w:color w:val="000000"/>
      <w:sz w:val="24"/>
      <w:szCs w:val="24"/>
      <w:lang w:val="en-GB" w:eastAsia="en-US"/>
    </w:rPr>
  </w:style>
  <w:style w:type="character" w:customStyle="1" w:styleId="rightside">
    <w:name w:val="right_side"/>
    <w:basedOn w:val="DefaultParagraphFont"/>
    <w:rsid w:val="0012020F"/>
  </w:style>
  <w:style w:type="paragraph" w:styleId="ListParagraph">
    <w:name w:val="List Paragraph"/>
    <w:basedOn w:val="Normal"/>
    <w:link w:val="ListParagraphChar"/>
    <w:uiPriority w:val="34"/>
    <w:qFormat/>
    <w:rsid w:val="0012020F"/>
    <w:pPr>
      <w:spacing w:after="0" w:line="288" w:lineRule="auto"/>
      <w:ind w:left="720"/>
      <w:contextualSpacing/>
      <w:jc w:val="left"/>
    </w:pPr>
    <w:rPr>
      <w:rFonts w:ascii="Arial" w:hAnsi="Arial"/>
      <w:szCs w:val="24"/>
      <w:lang w:val="en-GB" w:eastAsia="en-GB"/>
    </w:rPr>
  </w:style>
  <w:style w:type="paragraph" w:styleId="Bibliography">
    <w:name w:val="Bibliography"/>
    <w:basedOn w:val="Normal"/>
    <w:next w:val="Normal"/>
    <w:uiPriority w:val="37"/>
    <w:unhideWhenUsed/>
    <w:rsid w:val="0012020F"/>
    <w:pPr>
      <w:spacing w:after="0"/>
      <w:ind w:left="720" w:hanging="720"/>
      <w:jc w:val="left"/>
    </w:pPr>
    <w:rPr>
      <w:rFonts w:ascii="Arial" w:hAnsi="Arial"/>
      <w:szCs w:val="24"/>
      <w:lang w:val="en-GB" w:eastAsia="en-GB"/>
    </w:rPr>
  </w:style>
  <w:style w:type="paragraph" w:customStyle="1" w:styleId="BTBullet1">
    <w:name w:val="BTBullet1"/>
    <w:basedOn w:val="Normal"/>
    <w:uiPriority w:val="2"/>
    <w:qFormat/>
    <w:rsid w:val="0012020F"/>
    <w:pPr>
      <w:spacing w:after="0" w:line="240" w:lineRule="atLeast"/>
    </w:pPr>
    <w:rPr>
      <w:rFonts w:ascii="Arial" w:eastAsiaTheme="minorEastAsia" w:hAnsi="Arial"/>
      <w:sz w:val="20"/>
      <w:szCs w:val="24"/>
      <w:lang w:val="en-GB" w:eastAsia="en-GB"/>
    </w:rPr>
  </w:style>
  <w:style w:type="paragraph" w:customStyle="1" w:styleId="heading0">
    <w:name w:val="heading"/>
    <w:basedOn w:val="Normal"/>
    <w:rsid w:val="0012020F"/>
    <w:pPr>
      <w:spacing w:before="100" w:beforeAutospacing="1" w:after="100" w:afterAutospacing="1"/>
      <w:jc w:val="left"/>
    </w:pPr>
    <w:rPr>
      <w:szCs w:val="24"/>
      <w:lang w:val="et-EE" w:eastAsia="et-EE"/>
    </w:rPr>
  </w:style>
  <w:style w:type="character" w:customStyle="1" w:styleId="UnresolvedMention1">
    <w:name w:val="Unresolved Mention1"/>
    <w:basedOn w:val="DefaultParagraphFont"/>
    <w:uiPriority w:val="99"/>
    <w:semiHidden/>
    <w:unhideWhenUsed/>
    <w:rsid w:val="0012020F"/>
    <w:rPr>
      <w:color w:val="808080"/>
      <w:shd w:val="clear" w:color="auto" w:fill="E6E6E6"/>
    </w:rPr>
  </w:style>
  <w:style w:type="character" w:styleId="FollowedHyperlink">
    <w:name w:val="FollowedHyperlink"/>
    <w:basedOn w:val="DefaultParagraphFont"/>
    <w:semiHidden/>
    <w:unhideWhenUsed/>
    <w:rsid w:val="0012020F"/>
    <w:rPr>
      <w:color w:val="800080" w:themeColor="followedHyperlink"/>
      <w:u w:val="single"/>
    </w:rPr>
  </w:style>
  <w:style w:type="paragraph" w:styleId="Revision">
    <w:name w:val="Revision"/>
    <w:hidden/>
    <w:uiPriority w:val="99"/>
    <w:semiHidden/>
    <w:rsid w:val="0012020F"/>
    <w:rPr>
      <w:rFonts w:ascii="Arial" w:hAnsi="Arial"/>
      <w:sz w:val="24"/>
      <w:szCs w:val="24"/>
      <w:lang w:val="en-GB" w:eastAsia="en-GB"/>
    </w:rPr>
  </w:style>
  <w:style w:type="character" w:customStyle="1" w:styleId="UnresolvedMention">
    <w:name w:val="Unresolved Mention"/>
    <w:basedOn w:val="DefaultParagraphFont"/>
    <w:uiPriority w:val="99"/>
    <w:semiHidden/>
    <w:unhideWhenUsed/>
    <w:rsid w:val="0012020F"/>
    <w:rPr>
      <w:color w:val="808080"/>
      <w:shd w:val="clear" w:color="auto" w:fill="E6E6E6"/>
    </w:rPr>
  </w:style>
  <w:style w:type="character" w:customStyle="1" w:styleId="Heading2Char">
    <w:name w:val="Heading 2 Char"/>
    <w:basedOn w:val="DefaultParagraphFont"/>
    <w:link w:val="Heading2"/>
    <w:rsid w:val="00F41B98"/>
    <w:rPr>
      <w:b/>
      <w:sz w:val="24"/>
      <w:lang w:val="fr-FR" w:eastAsia="en-US"/>
    </w:rPr>
  </w:style>
  <w:style w:type="character" w:customStyle="1" w:styleId="ListParagraphChar">
    <w:name w:val="List Paragraph Char"/>
    <w:basedOn w:val="DefaultParagraphFont"/>
    <w:link w:val="ListParagraph"/>
    <w:uiPriority w:val="34"/>
    <w:locked/>
    <w:rsid w:val="00F466FD"/>
    <w:rPr>
      <w:rFonts w:ascii="Arial" w:hAnsi="Arial"/>
      <w:sz w:val="24"/>
      <w:szCs w:val="24"/>
      <w:lang w:val="en-GB" w:eastAsia="en-GB"/>
    </w:rPr>
  </w:style>
  <w:style w:type="paragraph" w:customStyle="1" w:styleId="Pa0">
    <w:name w:val="Pa0"/>
    <w:basedOn w:val="Normal"/>
    <w:next w:val="Normal"/>
    <w:uiPriority w:val="99"/>
    <w:rsid w:val="00027C6B"/>
    <w:pPr>
      <w:widowControl w:val="0"/>
      <w:autoSpaceDE w:val="0"/>
      <w:autoSpaceDN w:val="0"/>
      <w:adjustRightInd w:val="0"/>
      <w:spacing w:after="0" w:line="221" w:lineRule="atLeast"/>
      <w:jc w:val="left"/>
    </w:pPr>
    <w:rPr>
      <w:rFonts w:ascii="Garamond" w:hAnsi="Garamond"/>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08422">
      <w:bodyDiv w:val="1"/>
      <w:marLeft w:val="0"/>
      <w:marRight w:val="0"/>
      <w:marTop w:val="0"/>
      <w:marBottom w:val="0"/>
      <w:divBdr>
        <w:top w:val="none" w:sz="0" w:space="0" w:color="auto"/>
        <w:left w:val="none" w:sz="0" w:space="0" w:color="auto"/>
        <w:bottom w:val="none" w:sz="0" w:space="0" w:color="auto"/>
        <w:right w:val="none" w:sz="0" w:space="0" w:color="auto"/>
      </w:divBdr>
    </w:div>
    <w:div w:id="162288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www.catalogo.anqep.gov.pt/boDocumentos/getDocumentos/149"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europa.eu.int/citizensrights/signpost/about/index_en.htm"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s://www.oecd.org/edu/EAG-Interim-report.pdf" TargetMode="External"/><Relationship Id="rId28" Type="http://schemas.openxmlformats.org/officeDocument/2006/relationships/hyperlink" Target="http://europa.eu.int/citizensrights/signpost/about/index_en.htm"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oter" Target="footer6.xml"/><Relationship Id="rId30" Type="http://schemas.openxmlformats.org/officeDocument/2006/relationships/footer" Target="footer7.xml"/></Relationships>
</file>

<file path=word/_rels/footer6.xml.rels><?xml version="1.0" encoding="UTF-8" standalone="yes"?>
<Relationships xmlns="http://schemas.openxmlformats.org/package/2006/relationships"><Relationship Id="rId1" Type="http://schemas.openxmlformats.org/officeDocument/2006/relationships/image" Target="media/image4.jpg"/></Relationships>
</file>

<file path=word/_rels/footer8.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www.oei.es/quipu/portugal/novas_oportunidades.pdf" TargetMode="External"/><Relationship Id="rId13" Type="http://schemas.openxmlformats.org/officeDocument/2006/relationships/hyperlink" Target="http://www.dgeec.mec.pt/np4/96/%7b$clientServletPath%7d/?newsId=145&amp;fileName=EEF2012_Adultos.pdf" TargetMode="External"/><Relationship Id="rId18" Type="http://schemas.openxmlformats.org/officeDocument/2006/relationships/hyperlink" Target="https://livestream.com/accounts/2649338/events/7714352/player?width=960&amp;height=540&amp;enableInfoAndActivity=true&amp;defaultDrawer=feed&amp;autoPlay=true&amp;mute=false" TargetMode="External"/><Relationship Id="rId3" Type="http://schemas.openxmlformats.org/officeDocument/2006/relationships/hyperlink" Target="http://www.dges.mctes.pt/DGES/pt/Estudantes/Acesso/ConcursosEspeciais/Legislacao/" TargetMode="External"/><Relationship Id="rId21" Type="http://schemas.openxmlformats.org/officeDocument/2006/relationships/hyperlink" Target="http://apefa.org.pt" TargetMode="External"/><Relationship Id="rId7" Type="http://schemas.openxmlformats.org/officeDocument/2006/relationships/hyperlink" Target="http://www.portugal.gov.pt/pt/GC16" TargetMode="External"/><Relationship Id="rId12" Type="http://schemas.openxmlformats.org/officeDocument/2006/relationships/hyperlink" Target="http://www.dgeec.mec.pt/np4/96/%7b$clientServletPath%7d/?newsId=145&amp;fileName=EE1011Adultos.pdf" TargetMode="External"/><Relationship Id="rId17" Type="http://schemas.openxmlformats.org/officeDocument/2006/relationships/hyperlink" Target="http://www.dgeec.mec.pt/np4/96/%7B$clientServletPath%7D/?newsId=145&amp;fileName=DGEEC_DSEE_2017_EE20152016_ADULTOS.pdf" TargetMode="External"/><Relationship Id="rId2" Type="http://schemas.openxmlformats.org/officeDocument/2006/relationships/hyperlink" Target="http://dx.doi.org/10.1787/eag-2016-en" TargetMode="External"/><Relationship Id="rId16" Type="http://schemas.openxmlformats.org/officeDocument/2006/relationships/hyperlink" Target="http://www.dgeec.mec.pt/np4/96/%7b$clientServletPath%7d/?newsId=145&amp;fileName=DGEEC_DSEE_2016_EE20142015_Adultos.pdf" TargetMode="External"/><Relationship Id="rId20" Type="http://schemas.openxmlformats.org/officeDocument/2006/relationships/hyperlink" Target="http://www.cedefop.europa.eu/validation/inventory" TargetMode="External"/><Relationship Id="rId1" Type="http://schemas.openxmlformats.org/officeDocument/2006/relationships/hyperlink" Target="https://webgate.ec.europa.eu/fpfis/mwikis/eurydice/index.php/Portugal:National_Reforms_in_Vocational_Education_and_Training_and_Adult_Learning" TargetMode="External"/><Relationship Id="rId6" Type="http://schemas.openxmlformats.org/officeDocument/2006/relationships/hyperlink" Target="http://www.portugal.gov.pt/pt/GC15" TargetMode="External"/><Relationship Id="rId11" Type="http://schemas.openxmlformats.org/officeDocument/2006/relationships/hyperlink" Target="http://www.dgeec.mec.pt/np4/96/%7b$clientServletPath%7d/?newsId=145&amp;fileName=EE0910Adultos.pdf" TargetMode="External"/><Relationship Id="rId5" Type="http://schemas.openxmlformats.org/officeDocument/2006/relationships/hyperlink" Target="http://www.portugal.gov.pt/pt/GC14" TargetMode="External"/><Relationship Id="rId15" Type="http://schemas.openxmlformats.org/officeDocument/2006/relationships/hyperlink" Target="http://www.dgeec.mec.pt/np4/96/%7b$clientServletPath%7d/?newsId=145&amp;fileName=EE2014_Adultos.pdf" TargetMode="External"/><Relationship Id="rId10" Type="http://schemas.openxmlformats.org/officeDocument/2006/relationships/hyperlink" Target="http://www.dgeec.mec.pt/np4/96/%7b$clientServletPath%7d/?newsId=145&amp;fileName=EE0809Adultos.pdf" TargetMode="External"/><Relationship Id="rId19" Type="http://schemas.openxmlformats.org/officeDocument/2006/relationships/hyperlink" Target="https://www.passaportequalifica.gov.pt/cicLogin.xhtml" TargetMode="External"/><Relationship Id="rId4" Type="http://schemas.openxmlformats.org/officeDocument/2006/relationships/hyperlink" Target="http://www.portugal.gov.pt/Portal/Print.aspx?guid=%7b52DABCE1-604E-40DE-9615-7C92A1C34842" TargetMode="External"/><Relationship Id="rId9" Type="http://schemas.openxmlformats.org/officeDocument/2006/relationships/hyperlink" Target="http://www.dgeec.mec.pt/np4/96/%7b$clientServletPath%7d/?newsId=145&amp;fileName=GEPE_DSE_EE200708_ADULTOS.pdf" TargetMode="External"/><Relationship Id="rId14" Type="http://schemas.openxmlformats.org/officeDocument/2006/relationships/hyperlink" Target="http://www.dgeec.mec.pt/np4/96/%7b$clientServletPath%7d/?newsId=145&amp;fileName=2_EEF2013.Adultos1.pdf" TargetMode="External"/><Relationship Id="rId22" Type="http://schemas.openxmlformats.org/officeDocument/2006/relationships/hyperlink" Target="http://www.apcep.p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098AE41A192E4C85C747A9850AEF9A" ma:contentTypeVersion="1" ma:contentTypeDescription="Create a new document." ma:contentTypeScope="" ma:versionID="7f82ae109eddc4286fd11620683dfc2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9629B-9B3F-41A9-B4F9-DEB7EDCBC451}">
  <ds:schemaRefs>
    <ds:schemaRef ds:uri="http://schemas.microsoft.com/office/infopath/2007/PartnerControls"/>
    <ds:schemaRef ds:uri="http://purl.org/dc/dcmitype/"/>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D535CDC4-13F9-4318-8328-1A8BB0A81085}">
  <ds:schemaRefs>
    <ds:schemaRef ds:uri="http://schemas.microsoft.com/sharepoint/v3/contenttype/forms"/>
  </ds:schemaRefs>
</ds:datastoreItem>
</file>

<file path=customXml/itemProps3.xml><?xml version="1.0" encoding="utf-8"?>
<ds:datastoreItem xmlns:ds="http://schemas.openxmlformats.org/officeDocument/2006/customXml" ds:itemID="{A283577A-CCBC-4705-8BFD-D85C68031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9A767F-0E9A-4435-A087-461D2DBD5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105</TotalTime>
  <Pages>55</Pages>
  <Words>15186</Words>
  <Characters>87965</Characters>
  <Application>Microsoft Office Word</Application>
  <DocSecurity>0</DocSecurity>
  <PresentationFormat>Microsoft Word 11.0</PresentationFormat>
  <Lines>733</Lines>
  <Paragraphs>205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102946</CharactersWithSpaces>
  <SharedDoc>false</SharedDoc>
  <HyperlinkBase/>
  <HLinks>
    <vt:vector size="12" baseType="variant">
      <vt:variant>
        <vt:i4>3604494</vt:i4>
      </vt:variant>
      <vt:variant>
        <vt:i4>2387</vt:i4>
      </vt:variant>
      <vt:variant>
        <vt:i4>1025</vt:i4>
      </vt:variant>
      <vt:variant>
        <vt:i4>1</vt:i4>
      </vt:variant>
      <vt:variant>
        <vt:lpwstr>LOGO-CE for RTD EN Positive</vt:lpwstr>
      </vt:variant>
      <vt:variant>
        <vt:lpwstr/>
      </vt:variant>
      <vt:variant>
        <vt:i4>57</vt:i4>
      </vt:variant>
      <vt:variant>
        <vt:i4>-1</vt:i4>
      </vt:variant>
      <vt:variant>
        <vt:i4>2113</vt:i4>
      </vt:variant>
      <vt:variant>
        <vt:i4>1</vt:i4>
      </vt:variant>
      <vt:variant>
        <vt:lpwstr>Footer Box RTD 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Sipo Charles</dc:creator>
  <cp:lastModifiedBy>SEKMOKAS Mantas (EMPL)</cp:lastModifiedBy>
  <cp:revision>10</cp:revision>
  <cp:lastPrinted>2012-07-25T11:39:00Z</cp:lastPrinted>
  <dcterms:created xsi:type="dcterms:W3CDTF">2019-01-23T15:08:00Z</dcterms:created>
  <dcterms:modified xsi:type="dcterms:W3CDTF">2019-04-15T17:29:00Z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ContentTypeId">
    <vt:lpwstr>0x010100AF098AE41A192E4C85C747A9850AEF9A</vt:lpwstr>
  </property>
</Properties>
</file>