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8D747" w14:textId="77777777" w:rsidR="00546805" w:rsidRPr="00D06E0D" w:rsidRDefault="00546805" w:rsidP="00D06E0D">
      <w:pPr>
        <w:pStyle w:val="Corpodetexto"/>
        <w:spacing w:before="0"/>
        <w:ind w:left="0"/>
        <w:jc w:val="both"/>
        <w:rPr>
          <w:rFonts w:ascii="Gill Sans MT" w:hAnsi="Gill Sans MT"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5"/>
      </w:tblGrid>
      <w:tr w:rsidR="00546805" w:rsidRPr="00D06E0D" w14:paraId="76D9E40B" w14:textId="77777777" w:rsidTr="008D5916">
        <w:tc>
          <w:tcPr>
            <w:tcW w:w="13745" w:type="dxa"/>
          </w:tcPr>
          <w:p w14:paraId="5A977C9C" w14:textId="77777777" w:rsidR="00546805" w:rsidRPr="00D06E0D" w:rsidRDefault="00546805" w:rsidP="00D06E0D">
            <w:pPr>
              <w:spacing w:after="0" w:line="240" w:lineRule="auto"/>
              <w:jc w:val="both"/>
              <w:rPr>
                <w:rFonts w:ascii="Gill Sans MT" w:hAnsi="Gill Sans MT"/>
              </w:rPr>
            </w:pPr>
          </w:p>
          <w:p w14:paraId="707F7211" w14:textId="77777777" w:rsidR="00A43BA4" w:rsidRPr="00D06E0D" w:rsidRDefault="00A43BA4" w:rsidP="00A43BA4">
            <w:pPr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  <w:r w:rsidRPr="00D06E0D">
              <w:rPr>
                <w:rFonts w:ascii="Gill Sans MT" w:hAnsi="Gill Sans MT"/>
                <w:b/>
              </w:rPr>
              <w:t>Agência Nacional Erasmus+ Educação e Formação</w:t>
            </w:r>
          </w:p>
          <w:p w14:paraId="6447D8EE" w14:textId="586E6B3A" w:rsidR="00A43BA4" w:rsidRDefault="00A43BA4" w:rsidP="00A43BA4">
            <w:pPr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  <w:r w:rsidRPr="00D06E0D">
              <w:rPr>
                <w:rFonts w:ascii="Gill Sans MT" w:hAnsi="Gill Sans MT"/>
                <w:b/>
              </w:rPr>
              <w:t xml:space="preserve">Avaliação e Seleção de Candidaturas </w:t>
            </w:r>
            <w:r w:rsidR="00795583">
              <w:rPr>
                <w:rFonts w:ascii="Gill Sans MT" w:hAnsi="Gill Sans MT"/>
                <w:b/>
              </w:rPr>
              <w:t>Erasmus+</w:t>
            </w:r>
          </w:p>
          <w:p w14:paraId="6E698796" w14:textId="365491AC" w:rsidR="00A43BA4" w:rsidRPr="00D06E0D" w:rsidRDefault="00A43BA4" w:rsidP="00A43BA4">
            <w:pPr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Objetivos e Prioridades das Parcerias Estratégicas</w:t>
            </w:r>
            <w:r>
              <w:rPr>
                <w:rStyle w:val="Refdenotaderodap"/>
                <w:rFonts w:ascii="Gill Sans MT" w:hAnsi="Gill Sans MT"/>
                <w:b/>
                <w:color w:val="222222"/>
              </w:rPr>
              <w:footnoteReference w:id="1"/>
            </w:r>
          </w:p>
          <w:p w14:paraId="335A0BE3" w14:textId="77777777" w:rsidR="00A43BA4" w:rsidRPr="00D06E0D" w:rsidRDefault="00A43BA4" w:rsidP="00A43BA4">
            <w:pPr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  <w:r w:rsidRPr="00D06E0D">
              <w:rPr>
                <w:rFonts w:ascii="Gill Sans MT" w:hAnsi="Gill Sans MT"/>
                <w:b/>
              </w:rPr>
              <w:t>2019</w:t>
            </w:r>
          </w:p>
          <w:p w14:paraId="58DECFE2" w14:textId="1D3DEA0F" w:rsidR="00546805" w:rsidRPr="00A43BA4" w:rsidRDefault="00546805" w:rsidP="00A43BA4">
            <w:pPr>
              <w:pStyle w:val="Corpodetexto"/>
              <w:spacing w:before="0"/>
              <w:ind w:left="0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</w:p>
        </w:tc>
      </w:tr>
    </w:tbl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14"/>
        <w:gridCol w:w="10631"/>
      </w:tblGrid>
      <w:tr w:rsidR="00CF5782" w14:paraId="30C52DE5" w14:textId="77777777" w:rsidTr="008D5916">
        <w:tc>
          <w:tcPr>
            <w:tcW w:w="3114" w:type="dxa"/>
          </w:tcPr>
          <w:p w14:paraId="05A13A49" w14:textId="6F27F308" w:rsidR="00CF5782" w:rsidRDefault="00CF5782" w:rsidP="00547935">
            <w:pPr>
              <w:rPr>
                <w:rFonts w:ascii="Gill Sans MT" w:hAnsi="Gill Sans MT"/>
                <w:b/>
                <w:color w:val="222222"/>
              </w:rPr>
            </w:pPr>
            <w:r>
              <w:rPr>
                <w:rFonts w:ascii="Gill Sans MT" w:hAnsi="Gill Sans MT"/>
                <w:b/>
                <w:color w:val="222222"/>
              </w:rPr>
              <w:t>Objetivos</w:t>
            </w:r>
          </w:p>
        </w:tc>
        <w:tc>
          <w:tcPr>
            <w:tcW w:w="10631" w:type="dxa"/>
          </w:tcPr>
          <w:p w14:paraId="1545C5E2" w14:textId="1EB77497" w:rsidR="00CF5782" w:rsidRDefault="00CF5782" w:rsidP="00940C44">
            <w:pPr>
              <w:jc w:val="both"/>
              <w:rPr>
                <w:rFonts w:ascii="Gill Sans MT" w:hAnsi="Gill Sans MT"/>
                <w:b/>
                <w:color w:val="222222"/>
              </w:rPr>
            </w:pPr>
            <w:r>
              <w:rPr>
                <w:rFonts w:ascii="Gill Sans MT" w:hAnsi="Gill Sans MT" w:cs="Calibri"/>
                <w:color w:val="000000"/>
              </w:rPr>
              <w:t>A</w:t>
            </w:r>
            <w:r w:rsidRPr="00320ABE">
              <w:rPr>
                <w:rFonts w:ascii="Gill Sans MT" w:hAnsi="Gill Sans MT" w:cs="Calibri"/>
                <w:color w:val="000000"/>
              </w:rPr>
              <w:t>poiar o desenvolvimento, a transferência e/ou a aplicação de práticas inovadoras, bem como a execução de iniciativas conjuntas de promoção da cooperação, da aprendizagem interpares e dos intercâmbios de experiências a nível europeu.</w:t>
            </w:r>
          </w:p>
        </w:tc>
      </w:tr>
      <w:tr w:rsidR="00CF5782" w14:paraId="2F09D71C" w14:textId="77777777" w:rsidTr="00A80410">
        <w:trPr>
          <w:trHeight w:val="347"/>
        </w:trPr>
        <w:tc>
          <w:tcPr>
            <w:tcW w:w="3114" w:type="dxa"/>
          </w:tcPr>
          <w:p w14:paraId="177E65E9" w14:textId="187DC53A" w:rsidR="00CF5782" w:rsidRDefault="00CF5782" w:rsidP="00A43BA4">
            <w:pPr>
              <w:jc w:val="right"/>
              <w:rPr>
                <w:rFonts w:ascii="Gill Sans MT" w:hAnsi="Gill Sans MT"/>
                <w:b/>
                <w:color w:val="222222"/>
              </w:rPr>
            </w:pPr>
            <w:r w:rsidRPr="005856E7">
              <w:rPr>
                <w:rFonts w:ascii="Gill Sans MT" w:hAnsi="Gill Sans MT" w:cs="Calibri"/>
                <w:b/>
                <w:bCs/>
                <w:color w:val="000000"/>
              </w:rPr>
              <w:t>Apoio à Inovação</w:t>
            </w:r>
          </w:p>
        </w:tc>
        <w:tc>
          <w:tcPr>
            <w:tcW w:w="10631" w:type="dxa"/>
          </w:tcPr>
          <w:p w14:paraId="67186C91" w14:textId="1D62CBE7" w:rsidR="00CF5782" w:rsidRPr="00CF5782" w:rsidRDefault="00CF5782" w:rsidP="00CF5782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  <w:color w:val="000000"/>
              </w:rPr>
            </w:pPr>
            <w:r>
              <w:rPr>
                <w:rFonts w:ascii="Gill Sans MT" w:hAnsi="Gill Sans MT" w:cs="Calibri"/>
                <w:color w:val="000000"/>
              </w:rPr>
              <w:t>D</w:t>
            </w:r>
            <w:r w:rsidRPr="00320ABE">
              <w:rPr>
                <w:rFonts w:ascii="Gill Sans MT" w:hAnsi="Gill Sans MT" w:cs="Calibri"/>
                <w:color w:val="000000"/>
              </w:rPr>
              <w:t>esenvolv</w:t>
            </w:r>
            <w:r>
              <w:rPr>
                <w:rFonts w:ascii="Gill Sans MT" w:hAnsi="Gill Sans MT" w:cs="Calibri"/>
                <w:color w:val="000000"/>
              </w:rPr>
              <w:t>er</w:t>
            </w:r>
            <w:r w:rsidRPr="00320ABE">
              <w:rPr>
                <w:rFonts w:ascii="Gill Sans MT" w:hAnsi="Gill Sans MT" w:cs="Calibri"/>
                <w:color w:val="000000"/>
              </w:rPr>
              <w:t xml:space="preserve"> resultados inovadores, e/ou produzam atividades de disseminação e exploração intensiva de produtos existentes ou recentemente produzidos, ou de ideias inovadoras. </w:t>
            </w:r>
          </w:p>
        </w:tc>
      </w:tr>
      <w:tr w:rsidR="00CF5782" w14:paraId="1B4D0006" w14:textId="77777777" w:rsidTr="008D5916">
        <w:tc>
          <w:tcPr>
            <w:tcW w:w="3114" w:type="dxa"/>
          </w:tcPr>
          <w:p w14:paraId="278E1E3F" w14:textId="5FD2BD39" w:rsidR="00CF5782" w:rsidRDefault="00CF5782" w:rsidP="00A43BA4">
            <w:pPr>
              <w:jc w:val="right"/>
              <w:rPr>
                <w:rFonts w:ascii="Gill Sans MT" w:hAnsi="Gill Sans MT"/>
                <w:b/>
                <w:color w:val="222222"/>
              </w:rPr>
            </w:pPr>
            <w:r w:rsidRPr="005856E7">
              <w:rPr>
                <w:rFonts w:ascii="Gill Sans MT" w:hAnsi="Gill Sans MT" w:cs="Calibri"/>
                <w:b/>
                <w:bCs/>
                <w:color w:val="000000"/>
              </w:rPr>
              <w:t>Apoio ao Intercâmbio de Boas Práticas</w:t>
            </w:r>
          </w:p>
        </w:tc>
        <w:tc>
          <w:tcPr>
            <w:tcW w:w="10631" w:type="dxa"/>
          </w:tcPr>
          <w:p w14:paraId="122B1EE5" w14:textId="57949845" w:rsidR="00CF5782" w:rsidRPr="00CF5782" w:rsidRDefault="00CF5782" w:rsidP="00CF5782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  <w:color w:val="000000"/>
              </w:rPr>
            </w:pPr>
            <w:r>
              <w:rPr>
                <w:rFonts w:ascii="Gill Sans MT" w:hAnsi="Gill Sans MT" w:cs="Calibri"/>
                <w:color w:val="000000"/>
              </w:rPr>
              <w:t>P</w:t>
            </w:r>
            <w:r w:rsidRPr="00320ABE">
              <w:rPr>
                <w:rFonts w:ascii="Gill Sans MT" w:hAnsi="Gill Sans MT" w:cs="Calibri"/>
                <w:color w:val="000000"/>
              </w:rPr>
              <w:t xml:space="preserve">ermitir que as organizações desenvolvam e reforcem as redes, a sua capacidade de operar a nível transnacional, a partilha e o confronto de ideias, práticas e métodos. Os projetos selecionados podem também produzir resultados tangíveis e espera-se que disseminem os resultados das suas atividades, embora de uma forma que seja proporcional ao objetivo e âmbito do projeto. </w:t>
            </w:r>
          </w:p>
        </w:tc>
      </w:tr>
      <w:tr w:rsidR="00CF5782" w14:paraId="10E9B2E2" w14:textId="77777777" w:rsidTr="008D5916">
        <w:tc>
          <w:tcPr>
            <w:tcW w:w="3114" w:type="dxa"/>
          </w:tcPr>
          <w:p w14:paraId="7406AEEF" w14:textId="24702715" w:rsidR="00CF5782" w:rsidRDefault="00CF5782" w:rsidP="00A43BA4">
            <w:pPr>
              <w:jc w:val="right"/>
              <w:rPr>
                <w:rFonts w:ascii="Gill Sans MT" w:hAnsi="Gill Sans MT"/>
                <w:b/>
                <w:color w:val="222222"/>
              </w:rPr>
            </w:pPr>
            <w:r w:rsidRPr="00320ABE">
              <w:rPr>
                <w:rFonts w:ascii="Gill Sans MT" w:hAnsi="Gill Sans MT" w:cs="Calibri"/>
                <w:b/>
                <w:bCs/>
                <w:color w:val="000000"/>
              </w:rPr>
              <w:t>Intercâmbio Escolar</w:t>
            </w:r>
          </w:p>
        </w:tc>
        <w:tc>
          <w:tcPr>
            <w:tcW w:w="10631" w:type="dxa"/>
          </w:tcPr>
          <w:p w14:paraId="3F71EEFA" w14:textId="19BAB417" w:rsidR="00CF5782" w:rsidRPr="00CF5782" w:rsidRDefault="00CF5782" w:rsidP="00CF5782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  <w:color w:val="000000"/>
              </w:rPr>
            </w:pPr>
            <w:r w:rsidRPr="00320ABE">
              <w:rPr>
                <w:rFonts w:ascii="Gill Sans MT" w:hAnsi="Gill Sans MT" w:cs="Calibri"/>
                <w:color w:val="000000"/>
              </w:rPr>
              <w:t xml:space="preserve">Os projetos podem aproveitar as oportunidades de mobilidade de alunos e pessoal para ajudar as escolas participantes a evoluir enquanto organizações e melhorar a sua capacidade para trabalhar em projetos internacionais. </w:t>
            </w:r>
            <w:r>
              <w:rPr>
                <w:rFonts w:ascii="Gill Sans MT" w:hAnsi="Gill Sans MT" w:cs="Calibri"/>
                <w:color w:val="000000"/>
              </w:rPr>
              <w:t>A</w:t>
            </w:r>
            <w:r w:rsidRPr="00320ABE">
              <w:rPr>
                <w:rFonts w:ascii="Gill Sans MT" w:hAnsi="Gill Sans MT" w:cs="Calibri"/>
                <w:color w:val="000000"/>
              </w:rPr>
              <w:t xml:space="preserve"> mobilidade e intercâmbios físicos </w:t>
            </w:r>
            <w:r>
              <w:rPr>
                <w:rFonts w:ascii="Gill Sans MT" w:hAnsi="Gill Sans MT" w:cs="Calibri"/>
                <w:color w:val="000000"/>
              </w:rPr>
              <w:t xml:space="preserve">devem ser combinados </w:t>
            </w:r>
            <w:r w:rsidRPr="00320ABE">
              <w:rPr>
                <w:rFonts w:ascii="Gill Sans MT" w:hAnsi="Gill Sans MT" w:cs="Calibri"/>
                <w:color w:val="000000"/>
              </w:rPr>
              <w:t xml:space="preserve">com uma cooperação virtual através do </w:t>
            </w:r>
            <w:proofErr w:type="spellStart"/>
            <w:r w:rsidRPr="00320ABE">
              <w:rPr>
                <w:rFonts w:ascii="Gill Sans MT" w:hAnsi="Gill Sans MT" w:cs="Calibri"/>
                <w:color w:val="000000"/>
              </w:rPr>
              <w:t>eTwinning</w:t>
            </w:r>
            <w:proofErr w:type="spellEnd"/>
            <w:r w:rsidRPr="00320ABE">
              <w:rPr>
                <w:rFonts w:ascii="Gill Sans MT" w:hAnsi="Gill Sans MT" w:cs="Calibri"/>
                <w:color w:val="000000"/>
              </w:rPr>
              <w:t xml:space="preserve">. </w:t>
            </w:r>
          </w:p>
        </w:tc>
      </w:tr>
      <w:tr w:rsidR="00A80410" w14:paraId="1E88ED97" w14:textId="77777777" w:rsidTr="00885286">
        <w:tc>
          <w:tcPr>
            <w:tcW w:w="13745" w:type="dxa"/>
            <w:gridSpan w:val="2"/>
          </w:tcPr>
          <w:p w14:paraId="42AC927A" w14:textId="77777777" w:rsidR="00F65C55" w:rsidRDefault="00F65C55" w:rsidP="00A80410">
            <w:pPr>
              <w:jc w:val="center"/>
              <w:rPr>
                <w:rFonts w:ascii="Gill Sans MT" w:hAnsi="Gill Sans MT"/>
                <w:b/>
              </w:rPr>
            </w:pPr>
          </w:p>
          <w:p w14:paraId="4596FCF8" w14:textId="5FEB8BD9" w:rsidR="00A80410" w:rsidRDefault="00A80410" w:rsidP="00A80410">
            <w:pPr>
              <w:jc w:val="center"/>
              <w:rPr>
                <w:rFonts w:ascii="Gill Sans MT" w:hAnsi="Gill Sans MT"/>
                <w:b/>
              </w:rPr>
            </w:pPr>
            <w:r w:rsidRPr="007C0520">
              <w:rPr>
                <w:rFonts w:ascii="Gill Sans MT" w:hAnsi="Gill Sans MT"/>
                <w:b/>
              </w:rPr>
              <w:t>Prioridades das Parcerias Estratégicas</w:t>
            </w:r>
            <w:r w:rsidR="00EA522F">
              <w:rPr>
                <w:rStyle w:val="Refdenotaderodap"/>
                <w:rFonts w:ascii="Gill Sans MT" w:hAnsi="Gill Sans MT"/>
                <w:b/>
              </w:rPr>
              <w:footnoteReference w:id="2"/>
            </w:r>
          </w:p>
          <w:p w14:paraId="50FD3FE4" w14:textId="717C38AB" w:rsidR="00F65C55" w:rsidRDefault="00F65C55" w:rsidP="00A80410">
            <w:pPr>
              <w:jc w:val="center"/>
            </w:pPr>
          </w:p>
        </w:tc>
      </w:tr>
      <w:tr w:rsidR="00A43BA4" w14:paraId="56FC55BE" w14:textId="77777777" w:rsidTr="008D5916">
        <w:tc>
          <w:tcPr>
            <w:tcW w:w="3114" w:type="dxa"/>
          </w:tcPr>
          <w:p w14:paraId="29724CE4" w14:textId="77777777" w:rsidR="00A43BA4" w:rsidRPr="00D06E0D" w:rsidRDefault="00A43BA4" w:rsidP="00A43BA4">
            <w:pPr>
              <w:rPr>
                <w:rFonts w:ascii="Gill Sans MT" w:hAnsi="Gill Sans MT" w:cs="Times New Roman"/>
                <w:b/>
              </w:rPr>
            </w:pPr>
            <w:r w:rsidRPr="00D06E0D">
              <w:rPr>
                <w:rFonts w:ascii="Gill Sans MT" w:hAnsi="Gill Sans MT" w:cs="Times New Roman"/>
                <w:b/>
              </w:rPr>
              <w:t>Prioridades Europeias em Contexto Nacional</w:t>
            </w:r>
          </w:p>
          <w:p w14:paraId="47AFCFC7" w14:textId="77777777" w:rsidR="00A43BA4" w:rsidRPr="00A80410" w:rsidRDefault="00A43BA4" w:rsidP="00CF5782">
            <w:pPr>
              <w:jc w:val="both"/>
              <w:rPr>
                <w:rFonts w:ascii="Gill Sans MT" w:hAnsi="Gill Sans MT"/>
                <w:b/>
              </w:rPr>
            </w:pPr>
          </w:p>
        </w:tc>
        <w:tc>
          <w:tcPr>
            <w:tcW w:w="10631" w:type="dxa"/>
          </w:tcPr>
          <w:p w14:paraId="10CBA935" w14:textId="77777777" w:rsidR="00A43BA4" w:rsidRPr="00D06E0D" w:rsidRDefault="00A43BA4" w:rsidP="00A43BA4">
            <w:pPr>
              <w:pStyle w:val="Corpodetexto"/>
              <w:spacing w:before="0"/>
              <w:ind w:left="0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>
              <w:rPr>
                <w:rFonts w:ascii="Gill Sans MT" w:hAnsi="Gill Sans MT" w:cs="Times New Roman"/>
                <w:color w:val="222222"/>
                <w:sz w:val="22"/>
                <w:szCs w:val="22"/>
                <w:lang w:val="pt-PT" w:eastAsia="pt-PT"/>
              </w:rPr>
              <w:t>Em 2019, c</w:t>
            </w:r>
            <w:r w:rsidRPr="00D06E0D">
              <w:rPr>
                <w:rFonts w:ascii="Gill Sans MT" w:hAnsi="Gill Sans MT" w:cs="Times New Roman"/>
                <w:color w:val="222222"/>
                <w:sz w:val="22"/>
                <w:szCs w:val="22"/>
                <w:lang w:val="pt-PT" w:eastAsia="pt-PT"/>
              </w:rPr>
              <w:t xml:space="preserve">andidaturas </w:t>
            </w:r>
            <w:r>
              <w:rPr>
                <w:rFonts w:ascii="Gill Sans MT" w:hAnsi="Gill Sans MT" w:cs="Times New Roman"/>
                <w:color w:val="222222"/>
                <w:sz w:val="22"/>
                <w:szCs w:val="22"/>
                <w:lang w:val="pt-PT" w:eastAsia="pt-PT"/>
              </w:rPr>
              <w:t xml:space="preserve">a Parcerias Estratégicas </w:t>
            </w:r>
            <w:r w:rsidRPr="00D06E0D">
              <w:rPr>
                <w:rFonts w:ascii="Gill Sans MT" w:hAnsi="Gill Sans MT" w:cs="Times New Roman"/>
                <w:color w:val="222222"/>
                <w:sz w:val="22"/>
                <w:szCs w:val="22"/>
                <w:lang w:val="pt-PT" w:eastAsia="pt-PT"/>
              </w:rPr>
              <w:t>focadas numa ou mais prioridades europeias em contexto nacional serão consideradas muito relevantes</w:t>
            </w:r>
            <w:r>
              <w:rPr>
                <w:rFonts w:ascii="Gill Sans MT" w:hAnsi="Gill Sans MT" w:cs="Times New Roman"/>
                <w:color w:val="222222"/>
                <w:sz w:val="22"/>
                <w:szCs w:val="22"/>
                <w:lang w:val="pt-PT" w:eastAsia="pt-PT"/>
              </w:rPr>
              <w:t>, à semelhança do que aconteceu em</w:t>
            </w:r>
            <w:r w:rsidRPr="00D06E0D">
              <w:rPr>
                <w:rFonts w:ascii="Gill Sans MT" w:hAnsi="Gill Sans MT"/>
                <w:sz w:val="22"/>
                <w:szCs w:val="22"/>
                <w:lang w:val="pt-PT"/>
              </w:rPr>
              <w:t xml:space="preserve"> 2018:</w:t>
            </w:r>
          </w:p>
          <w:p w14:paraId="282B1FE3" w14:textId="77777777" w:rsidR="00A43BA4" w:rsidRPr="00D06E0D" w:rsidRDefault="00A43BA4" w:rsidP="00A43BA4">
            <w:pPr>
              <w:pStyle w:val="Corpodetexto"/>
              <w:numPr>
                <w:ilvl w:val="0"/>
                <w:numId w:val="30"/>
              </w:numPr>
              <w:spacing w:before="0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D06E0D">
              <w:rPr>
                <w:rFonts w:ascii="Gill Sans MT" w:hAnsi="Gill Sans MT"/>
                <w:sz w:val="22"/>
                <w:szCs w:val="22"/>
                <w:lang w:val="pt-PT"/>
              </w:rPr>
              <w:t xml:space="preserve">Metas Europeias para a Educação e Formação 2020; </w:t>
            </w:r>
          </w:p>
          <w:p w14:paraId="19731FF5" w14:textId="77777777" w:rsidR="00A43BA4" w:rsidRPr="00D06E0D" w:rsidRDefault="00A43BA4" w:rsidP="00A43BA4">
            <w:pPr>
              <w:pStyle w:val="Corpodetexto"/>
              <w:numPr>
                <w:ilvl w:val="0"/>
                <w:numId w:val="30"/>
              </w:numPr>
              <w:spacing w:before="0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D06E0D">
              <w:rPr>
                <w:rFonts w:ascii="Gill Sans MT" w:hAnsi="Gill Sans MT"/>
                <w:sz w:val="22"/>
                <w:szCs w:val="22"/>
                <w:lang w:val="pt-PT"/>
              </w:rPr>
              <w:t>Pessoas oriundas de grupos desfavorecidos e com menos oportunidades e/ou com necessidades especiais, para aumentar a igualdade e inclusão; e</w:t>
            </w:r>
          </w:p>
          <w:p w14:paraId="3EC2EC9F" w14:textId="0669397E" w:rsidR="00A43BA4" w:rsidRPr="00A43BA4" w:rsidRDefault="00A43BA4" w:rsidP="00CF5782">
            <w:pPr>
              <w:pStyle w:val="Corpodetexto"/>
              <w:numPr>
                <w:ilvl w:val="0"/>
                <w:numId w:val="30"/>
              </w:numPr>
              <w:spacing w:before="0"/>
              <w:jc w:val="both"/>
              <w:rPr>
                <w:rFonts w:ascii="Gill Sans MT" w:hAnsi="Gill Sans MT"/>
                <w:sz w:val="22"/>
                <w:szCs w:val="22"/>
                <w:lang w:val="pt-PT"/>
              </w:rPr>
            </w:pPr>
            <w:r w:rsidRPr="00D06E0D">
              <w:rPr>
                <w:rFonts w:ascii="Gill Sans MT" w:hAnsi="Gill Sans MT"/>
                <w:sz w:val="22"/>
                <w:szCs w:val="22"/>
                <w:lang w:val="pt-PT"/>
              </w:rPr>
              <w:t xml:space="preserve">Pessoas e instituições provenientes de áreas geográficas menos representadas no Programa. </w:t>
            </w:r>
          </w:p>
        </w:tc>
      </w:tr>
      <w:tr w:rsidR="00CF5782" w14:paraId="3D7D2253" w14:textId="77777777" w:rsidTr="008D5916">
        <w:tc>
          <w:tcPr>
            <w:tcW w:w="3114" w:type="dxa"/>
          </w:tcPr>
          <w:p w14:paraId="2429F4FE" w14:textId="77777777" w:rsidR="008D5916" w:rsidRPr="005856E7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  <w:b/>
                <w:bCs/>
                <w:color w:val="000000"/>
              </w:rPr>
            </w:pPr>
            <w:r w:rsidRPr="005856E7">
              <w:rPr>
                <w:rFonts w:ascii="Gill Sans MT" w:hAnsi="Gill Sans MT" w:cs="Calibri"/>
                <w:b/>
                <w:bCs/>
                <w:color w:val="000000"/>
              </w:rPr>
              <w:lastRenderedPageBreak/>
              <w:t xml:space="preserve">Prioridades Horizontais </w:t>
            </w:r>
          </w:p>
          <w:p w14:paraId="29E24421" w14:textId="77777777" w:rsidR="00CF5782" w:rsidRDefault="00CF5782" w:rsidP="00CF5782">
            <w:pPr>
              <w:jc w:val="both"/>
              <w:rPr>
                <w:rFonts w:ascii="Gill Sans MT" w:hAnsi="Gill Sans MT"/>
                <w:b/>
                <w:color w:val="222222"/>
              </w:rPr>
            </w:pPr>
          </w:p>
        </w:tc>
        <w:tc>
          <w:tcPr>
            <w:tcW w:w="10631" w:type="dxa"/>
          </w:tcPr>
          <w:p w14:paraId="220CF2B7" w14:textId="77777777" w:rsidR="008D5916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  <w:color w:val="000000"/>
              </w:rPr>
            </w:pPr>
            <w:r w:rsidRPr="000566FA">
              <w:rPr>
                <w:rFonts w:ascii="Gill Sans MT" w:hAnsi="Gill Sans MT" w:cs="Wingdings"/>
                <w:color w:val="000000"/>
              </w:rPr>
              <w:t xml:space="preserve"> </w:t>
            </w:r>
            <w:r w:rsidRPr="000566FA">
              <w:rPr>
                <w:rFonts w:ascii="Gill Sans MT" w:hAnsi="Gill Sans MT" w:cs="Calibri"/>
                <w:b/>
                <w:bCs/>
                <w:color w:val="000000"/>
              </w:rPr>
              <w:t>Apoiar os indivíduos na aquisição e no desenvolvimento de aptidões e competências básicas</w:t>
            </w:r>
            <w:r w:rsidRPr="005856E7">
              <w:rPr>
                <w:rFonts w:ascii="Gill Sans MT" w:hAnsi="Gill Sans MT" w:cs="Calibri"/>
                <w:color w:val="000000"/>
              </w:rPr>
              <w:t xml:space="preserve"> </w:t>
            </w:r>
            <w:r w:rsidRPr="000566FA">
              <w:rPr>
                <w:rFonts w:ascii="Gill Sans MT" w:hAnsi="Gill Sans MT" w:cs="Calibri"/>
                <w:color w:val="000000"/>
              </w:rPr>
              <w:t>a fim de promover a empregabilidade e o desenvolvimento socioeducativo e pessoal, bem como a participação na vida cívica e social</w:t>
            </w:r>
            <w:r>
              <w:rPr>
                <w:rFonts w:ascii="Gill Sans MT" w:hAnsi="Gill Sans MT" w:cs="Calibri"/>
                <w:color w:val="000000"/>
              </w:rPr>
              <w:t>.</w:t>
            </w:r>
          </w:p>
          <w:p w14:paraId="65C82621" w14:textId="77777777" w:rsidR="008D5916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  <w:color w:val="000000"/>
              </w:rPr>
            </w:pPr>
            <w:r w:rsidRPr="000566FA">
              <w:rPr>
                <w:rFonts w:ascii="Gill Sans MT" w:hAnsi="Gill Sans MT" w:cs="Wingdings"/>
                <w:color w:val="000000"/>
              </w:rPr>
              <w:t xml:space="preserve"> </w:t>
            </w:r>
            <w:r w:rsidRPr="000566FA">
              <w:rPr>
                <w:rFonts w:ascii="Gill Sans MT" w:hAnsi="Gill Sans MT" w:cs="Calibri"/>
                <w:b/>
                <w:bCs/>
                <w:color w:val="000000"/>
              </w:rPr>
              <w:t xml:space="preserve">Inclusão social: </w:t>
            </w:r>
            <w:r w:rsidRPr="000566FA">
              <w:rPr>
                <w:rFonts w:ascii="Gill Sans MT" w:hAnsi="Gill Sans MT" w:cs="Calibri"/>
                <w:color w:val="000000"/>
              </w:rPr>
              <w:t>ações que promovam, em particular por meio de abordagens integradas inovadoras, a adesão a valores comuns, a igualdade, incluindo a equidade entre géneros, e a não discriminação e inclusão social, incluindo no que diz respeito a pessoas com problemas de saúde, nas atividades de ensino</w:t>
            </w:r>
            <w:r>
              <w:rPr>
                <w:rFonts w:ascii="Gill Sans MT" w:hAnsi="Gill Sans MT" w:cs="Calibri"/>
                <w:color w:val="000000"/>
              </w:rPr>
              <w:t xml:space="preserve"> e </w:t>
            </w:r>
            <w:r w:rsidRPr="000566FA">
              <w:rPr>
                <w:rFonts w:ascii="Gill Sans MT" w:hAnsi="Gill Sans MT" w:cs="Calibri"/>
                <w:color w:val="000000"/>
              </w:rPr>
              <w:t xml:space="preserve">formação. </w:t>
            </w:r>
          </w:p>
          <w:p w14:paraId="4A6B9D0D" w14:textId="77777777" w:rsidR="008D5916" w:rsidRPr="000566FA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  <w:color w:val="000000"/>
              </w:rPr>
            </w:pPr>
            <w:r w:rsidRPr="000566FA">
              <w:rPr>
                <w:rFonts w:ascii="Gill Sans MT" w:hAnsi="Gill Sans MT" w:cs="Wingdings"/>
                <w:color w:val="000000"/>
              </w:rPr>
              <w:t xml:space="preserve"> </w:t>
            </w:r>
            <w:r w:rsidRPr="000566FA">
              <w:rPr>
                <w:rFonts w:ascii="Gill Sans MT" w:hAnsi="Gill Sans MT" w:cs="Calibri"/>
                <w:b/>
                <w:bCs/>
                <w:color w:val="000000"/>
              </w:rPr>
              <w:t xml:space="preserve">Educação aberta e práticas inovadoras na era digital: </w:t>
            </w:r>
            <w:r w:rsidRPr="000566FA">
              <w:rPr>
                <w:rFonts w:ascii="Gill Sans MT" w:hAnsi="Gill Sans MT" w:cs="Calibri"/>
                <w:color w:val="000000"/>
              </w:rPr>
              <w:t xml:space="preserve">ações que promovam pedagogias e métodos de ensino, aprendizagem e avaliação inovadores e que apoiem os formadores e formandos na utilização das tecnologias digitais de uma forma criativa, colaborativa e eficiente. </w:t>
            </w:r>
          </w:p>
          <w:p w14:paraId="1D74C621" w14:textId="77777777" w:rsidR="008D5916" w:rsidRPr="000566FA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  <w:color w:val="000000"/>
              </w:rPr>
            </w:pPr>
            <w:r w:rsidRPr="000566FA">
              <w:rPr>
                <w:rFonts w:ascii="Gill Sans MT" w:hAnsi="Gill Sans MT" w:cs="Wingdings"/>
                <w:color w:val="000000"/>
              </w:rPr>
              <w:t xml:space="preserve"> </w:t>
            </w:r>
            <w:r w:rsidRPr="000566FA">
              <w:rPr>
                <w:rFonts w:ascii="Gill Sans MT" w:hAnsi="Gill Sans MT" w:cs="Calibri"/>
                <w:b/>
                <w:bCs/>
                <w:color w:val="000000"/>
              </w:rPr>
              <w:t xml:space="preserve">Apoio aos educadores: </w:t>
            </w:r>
            <w:r w:rsidRPr="000566FA">
              <w:rPr>
                <w:rFonts w:ascii="Gill Sans MT" w:hAnsi="Gill Sans MT" w:cs="Calibri"/>
                <w:color w:val="000000"/>
              </w:rPr>
              <w:t xml:space="preserve">ações que reforcem o recrutamento, a seleção e o desenvolvimento profissional dos educadores, dirigentes educativos e pessoal de apoio, bem como a ações que apoiem a inovação e elevada qualidade do ensino e a avaliação dos aprendentes. </w:t>
            </w:r>
          </w:p>
          <w:p w14:paraId="23E1A1A1" w14:textId="77777777" w:rsidR="008D5916" w:rsidRPr="000566FA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  <w:color w:val="000000"/>
              </w:rPr>
            </w:pPr>
            <w:r w:rsidRPr="000566FA">
              <w:rPr>
                <w:rFonts w:ascii="Gill Sans MT" w:hAnsi="Gill Sans MT" w:cs="Wingdings"/>
                <w:color w:val="000000"/>
              </w:rPr>
              <w:t xml:space="preserve"> </w:t>
            </w:r>
            <w:r w:rsidRPr="000566FA">
              <w:rPr>
                <w:rFonts w:ascii="Gill Sans MT" w:hAnsi="Gill Sans MT" w:cs="Calibri"/>
                <w:b/>
                <w:bCs/>
                <w:color w:val="000000"/>
              </w:rPr>
              <w:t xml:space="preserve">Transparência e reconhecimento de competências e qualificações: </w:t>
            </w:r>
            <w:r w:rsidRPr="000566FA">
              <w:rPr>
                <w:rFonts w:ascii="Gill Sans MT" w:hAnsi="Gill Sans MT" w:cs="Calibri"/>
                <w:color w:val="000000"/>
              </w:rPr>
              <w:t xml:space="preserve">ações que apoiem a mobilidade da aprendizagem e dos trabalhadores e que facilitem as transições entre diferentes níveis e tipos de ensino e formação, entre o ensino/formação e o mercado de trabalho, e entre diferentes empregos. </w:t>
            </w:r>
          </w:p>
          <w:p w14:paraId="22025576" w14:textId="77777777" w:rsidR="008D5916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Wingdings"/>
              </w:rPr>
              <w:t xml:space="preserve"> </w:t>
            </w:r>
            <w:r w:rsidRPr="000566FA">
              <w:rPr>
                <w:rFonts w:ascii="Gill Sans MT" w:hAnsi="Gill Sans MT" w:cs="Calibri"/>
                <w:b/>
                <w:bCs/>
              </w:rPr>
              <w:t xml:space="preserve">Investimento sustentável, qualidade e eficácia dos sistemas de educação, formação e juventude: </w:t>
            </w:r>
            <w:r w:rsidRPr="000566FA">
              <w:rPr>
                <w:rFonts w:ascii="Gill Sans MT" w:hAnsi="Gill Sans MT" w:cs="Calibri"/>
              </w:rPr>
              <w:t xml:space="preserve">ações que apoiem a execução do Plano de Investimento para a Europa, incluindo a promoção de modelos de financiamento que atraiam agentes e capital privado, tal como o Mecanismo Europeu de Garantia de Empréstimos a Estudantes. </w:t>
            </w:r>
          </w:p>
          <w:p w14:paraId="685C718D" w14:textId="22DE437E" w:rsidR="00CF5782" w:rsidRPr="008D5916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Wingdings"/>
              </w:rPr>
              <w:t xml:space="preserve"> </w:t>
            </w:r>
            <w:r w:rsidRPr="000566FA">
              <w:rPr>
                <w:rFonts w:ascii="Gill Sans MT" w:hAnsi="Gill Sans MT" w:cs="Calibri"/>
                <w:b/>
                <w:bCs/>
              </w:rPr>
              <w:t>Valor social e educativo do património cultural europeu, do seu contributo para a criação de emprego, para o crescimento económico e a coesão social</w:t>
            </w:r>
            <w:r w:rsidRPr="000566FA">
              <w:rPr>
                <w:rFonts w:ascii="Gill Sans MT" w:hAnsi="Gill Sans MT" w:cs="Calibri"/>
              </w:rPr>
              <w:t xml:space="preserve">: será dada prioridade a ações que contribuam para a sensibilização para a importância do património cultural da Europa através da educação, da aprendizagem ao longo da vida, da aprendizagem formal e não formal. </w:t>
            </w:r>
          </w:p>
        </w:tc>
      </w:tr>
      <w:tr w:rsidR="00885286" w14:paraId="5DF8EB90" w14:textId="77777777" w:rsidTr="00885286">
        <w:tc>
          <w:tcPr>
            <w:tcW w:w="13745" w:type="dxa"/>
            <w:gridSpan w:val="2"/>
          </w:tcPr>
          <w:p w14:paraId="489EE88A" w14:textId="77777777" w:rsidR="00F65C55" w:rsidRDefault="00F65C55" w:rsidP="00885286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Calibri"/>
                <w:b/>
                <w:bCs/>
                <w:color w:val="000000"/>
              </w:rPr>
            </w:pPr>
          </w:p>
          <w:p w14:paraId="5FE64493" w14:textId="77777777" w:rsidR="00885286" w:rsidRDefault="00885286" w:rsidP="00885286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Calibri"/>
                <w:b/>
                <w:bCs/>
                <w:color w:val="000000"/>
              </w:rPr>
            </w:pPr>
            <w:r w:rsidRPr="005856E7">
              <w:rPr>
                <w:rFonts w:ascii="Gill Sans MT" w:hAnsi="Gill Sans MT" w:cs="Calibri"/>
                <w:b/>
                <w:bCs/>
                <w:color w:val="000000"/>
              </w:rPr>
              <w:t xml:space="preserve">Prioridades </w:t>
            </w:r>
            <w:r>
              <w:rPr>
                <w:rFonts w:ascii="Gill Sans MT" w:hAnsi="Gill Sans MT" w:cs="Calibri"/>
                <w:b/>
                <w:bCs/>
                <w:color w:val="000000"/>
              </w:rPr>
              <w:t>Setoriais</w:t>
            </w:r>
          </w:p>
          <w:p w14:paraId="1F215CFC" w14:textId="134BD991" w:rsidR="00F65C55" w:rsidRPr="00885286" w:rsidRDefault="00F65C55" w:rsidP="00885286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Calibri"/>
                <w:b/>
                <w:bCs/>
                <w:color w:val="000000"/>
              </w:rPr>
            </w:pPr>
          </w:p>
        </w:tc>
      </w:tr>
      <w:tr w:rsidR="00CF5782" w14:paraId="29F37E0A" w14:textId="77777777" w:rsidTr="00CC21C9">
        <w:trPr>
          <w:trHeight w:val="1270"/>
        </w:trPr>
        <w:tc>
          <w:tcPr>
            <w:tcW w:w="3114" w:type="dxa"/>
          </w:tcPr>
          <w:p w14:paraId="0A74F3A3" w14:textId="77777777" w:rsidR="008D5916" w:rsidRPr="00B91344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  <w:b/>
              </w:rPr>
            </w:pPr>
            <w:r w:rsidRPr="00B91344">
              <w:rPr>
                <w:rFonts w:ascii="Gill Sans MT" w:hAnsi="Gill Sans MT" w:cs="Calibri"/>
                <w:b/>
              </w:rPr>
              <w:t>Ensino Escolar</w:t>
            </w:r>
          </w:p>
          <w:p w14:paraId="049AA21F" w14:textId="77777777" w:rsidR="00CF5782" w:rsidRDefault="00CF5782" w:rsidP="00CF5782">
            <w:pPr>
              <w:jc w:val="both"/>
              <w:rPr>
                <w:rFonts w:ascii="Gill Sans MT" w:hAnsi="Gill Sans MT"/>
                <w:b/>
                <w:color w:val="222222"/>
              </w:rPr>
            </w:pPr>
          </w:p>
        </w:tc>
        <w:tc>
          <w:tcPr>
            <w:tcW w:w="10631" w:type="dxa"/>
          </w:tcPr>
          <w:p w14:paraId="0B7CA4B5" w14:textId="77777777" w:rsidR="008D5916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Wingdings"/>
              </w:rPr>
              <w:t xml:space="preserve"> </w:t>
            </w:r>
            <w:r w:rsidRPr="000566FA">
              <w:rPr>
                <w:rFonts w:ascii="Gill Sans MT" w:hAnsi="Gill Sans MT" w:cs="Calibri"/>
                <w:b/>
                <w:bCs/>
              </w:rPr>
              <w:t xml:space="preserve">Reforçar o perfil profissional de toda a carreira docente, </w:t>
            </w:r>
            <w:r w:rsidRPr="000566FA">
              <w:rPr>
                <w:rFonts w:ascii="Gill Sans MT" w:hAnsi="Gill Sans MT" w:cs="Calibri"/>
              </w:rPr>
              <w:t>incluindo em especial professores, dirigentes escolares e formadores de docentes</w:t>
            </w:r>
            <w:r>
              <w:rPr>
                <w:rFonts w:ascii="Gill Sans MT" w:hAnsi="Gill Sans MT" w:cs="Calibri"/>
              </w:rPr>
              <w:t>.</w:t>
            </w:r>
          </w:p>
          <w:p w14:paraId="47C766B4" w14:textId="77777777" w:rsidR="008D5916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Wingdings"/>
              </w:rPr>
              <w:t xml:space="preserve"> </w:t>
            </w:r>
            <w:r w:rsidRPr="000566FA">
              <w:rPr>
                <w:rFonts w:ascii="Gill Sans MT" w:hAnsi="Gill Sans MT" w:cs="Calibri"/>
                <w:b/>
              </w:rPr>
              <w:t>Promover uma abordagem global de ensino e aprendizagem de línguas</w:t>
            </w:r>
            <w:r w:rsidRPr="000566FA">
              <w:rPr>
                <w:rFonts w:ascii="Gill Sans MT" w:hAnsi="Gill Sans MT" w:cs="Calibri"/>
              </w:rPr>
              <w:t xml:space="preserve">, com base na crescente diversidade linguísticas nas escolas. </w:t>
            </w:r>
          </w:p>
          <w:p w14:paraId="47BBF503" w14:textId="77777777" w:rsidR="008D5916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Wingdings"/>
              </w:rPr>
              <w:t xml:space="preserve"> </w:t>
            </w:r>
            <w:r w:rsidRPr="000566FA">
              <w:rPr>
                <w:rFonts w:ascii="Gill Sans MT" w:hAnsi="Gill Sans MT" w:cs="Calibri"/>
                <w:b/>
                <w:bCs/>
              </w:rPr>
              <w:t>Combater o abandono escolar precoce (AEP) e dos alunos desfavorecidos</w:t>
            </w:r>
            <w:r w:rsidRPr="000566FA">
              <w:rPr>
                <w:rFonts w:ascii="Gill Sans MT" w:hAnsi="Gill Sans MT" w:cs="Calibri"/>
              </w:rPr>
              <w:t>, conduzindo ao sucesso todos os alunos, incluindo as crianças oriundas da migração</w:t>
            </w:r>
            <w:r>
              <w:rPr>
                <w:rFonts w:ascii="Gill Sans MT" w:hAnsi="Gill Sans MT" w:cs="Calibri"/>
              </w:rPr>
              <w:t>.</w:t>
            </w:r>
          </w:p>
          <w:p w14:paraId="10B343F7" w14:textId="77777777" w:rsidR="008D5916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Wingdings"/>
              </w:rPr>
              <w:lastRenderedPageBreak/>
              <w:t xml:space="preserve"> </w:t>
            </w:r>
            <w:r w:rsidRPr="000566FA">
              <w:rPr>
                <w:rFonts w:ascii="Gill Sans MT" w:hAnsi="Gill Sans MT" w:cs="Calibri"/>
                <w:b/>
                <w:bCs/>
              </w:rPr>
              <w:t xml:space="preserve">Melhorar o acesso a um ensino pré-primário e a cuidados infantis de elevada qualidade </w:t>
            </w:r>
            <w:r w:rsidRPr="000566FA">
              <w:rPr>
                <w:rFonts w:ascii="Gill Sans MT" w:hAnsi="Gill Sans MT" w:cs="Calibri"/>
              </w:rPr>
              <w:t>e reforçar a qualidade dos sistemas e da oferta no sentido de fomentar o desenvolvimento adequado das crianças de acordo com a sua idade, com vista a obter melhores resultados de aprendizagem e assegurar um bom começo no ensino para todo</w:t>
            </w:r>
            <w:r>
              <w:rPr>
                <w:rFonts w:ascii="Gill Sans MT" w:hAnsi="Gill Sans MT" w:cs="Calibri"/>
              </w:rPr>
              <w:t>s.</w:t>
            </w:r>
          </w:p>
          <w:p w14:paraId="3B4A3C2E" w14:textId="0016DDD5" w:rsidR="00CF5782" w:rsidRPr="00A80410" w:rsidRDefault="008D5916" w:rsidP="00A80410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Wingdings"/>
              </w:rPr>
              <w:t xml:space="preserve"> </w:t>
            </w:r>
            <w:r w:rsidRPr="000566FA">
              <w:rPr>
                <w:rFonts w:ascii="Gill Sans MT" w:hAnsi="Gill Sans MT" w:cs="Calibri"/>
                <w:b/>
                <w:bCs/>
              </w:rPr>
              <w:t>Reforçar a capacidade de organização e o reconhecimento de períodos de aprendizagem no estrangeiro</w:t>
            </w:r>
            <w:r w:rsidRPr="000566FA">
              <w:rPr>
                <w:rFonts w:ascii="Gill Sans MT" w:hAnsi="Gill Sans MT" w:cs="Calibri"/>
              </w:rPr>
              <w:t>, nomeadamente o reconhecimento da educação formal e das competências transversais desenvolvidas através da aprendizagem formal e não formal</w:t>
            </w:r>
            <w:r>
              <w:rPr>
                <w:rFonts w:ascii="Gill Sans MT" w:hAnsi="Gill Sans MT" w:cs="Calibri"/>
              </w:rPr>
              <w:t>.</w:t>
            </w:r>
          </w:p>
        </w:tc>
      </w:tr>
      <w:tr w:rsidR="008D5916" w14:paraId="2F8AEFC3" w14:textId="77777777" w:rsidTr="008D5916">
        <w:tc>
          <w:tcPr>
            <w:tcW w:w="3114" w:type="dxa"/>
          </w:tcPr>
          <w:p w14:paraId="138A3DFE" w14:textId="77777777" w:rsidR="00547935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  <w:b/>
                <w:bCs/>
              </w:rPr>
            </w:pPr>
            <w:r w:rsidRPr="00B91344">
              <w:rPr>
                <w:rFonts w:ascii="Gill Sans MT" w:hAnsi="Gill Sans MT" w:cs="Calibri"/>
                <w:b/>
              </w:rPr>
              <w:lastRenderedPageBreak/>
              <w:t>E</w:t>
            </w:r>
            <w:r w:rsidRPr="000566FA">
              <w:rPr>
                <w:rFonts w:ascii="Gill Sans MT" w:hAnsi="Gill Sans MT" w:cs="Calibri"/>
                <w:b/>
                <w:bCs/>
              </w:rPr>
              <w:t xml:space="preserve">nsino e </w:t>
            </w:r>
            <w:r>
              <w:rPr>
                <w:rFonts w:ascii="Gill Sans MT" w:hAnsi="Gill Sans MT" w:cs="Calibri"/>
                <w:b/>
                <w:bCs/>
              </w:rPr>
              <w:t>F</w:t>
            </w:r>
            <w:r w:rsidRPr="000566FA">
              <w:rPr>
                <w:rFonts w:ascii="Gill Sans MT" w:hAnsi="Gill Sans MT" w:cs="Calibri"/>
                <w:b/>
                <w:bCs/>
              </w:rPr>
              <w:t>ormação</w:t>
            </w:r>
          </w:p>
          <w:p w14:paraId="0A375935" w14:textId="3978ECFA" w:rsidR="008D5916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  <w:b/>
                <w:bCs/>
              </w:rPr>
            </w:pPr>
            <w:r>
              <w:rPr>
                <w:rFonts w:ascii="Gill Sans MT" w:hAnsi="Gill Sans MT" w:cs="Calibri"/>
                <w:b/>
                <w:bCs/>
              </w:rPr>
              <w:t>P</w:t>
            </w:r>
            <w:r w:rsidRPr="000566FA">
              <w:rPr>
                <w:rFonts w:ascii="Gill Sans MT" w:hAnsi="Gill Sans MT" w:cs="Calibri"/>
                <w:b/>
                <w:bCs/>
              </w:rPr>
              <w:t xml:space="preserve">rofissional </w:t>
            </w:r>
          </w:p>
          <w:p w14:paraId="7A41CBEC" w14:textId="77777777" w:rsidR="008D5916" w:rsidRPr="00B91344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  <w:b/>
              </w:rPr>
            </w:pPr>
          </w:p>
        </w:tc>
        <w:tc>
          <w:tcPr>
            <w:tcW w:w="10631" w:type="dxa"/>
          </w:tcPr>
          <w:p w14:paraId="48BFC90C" w14:textId="77777777" w:rsidR="008D5916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Wingdings"/>
              </w:rPr>
              <w:t xml:space="preserve"> </w:t>
            </w:r>
            <w:r w:rsidRPr="00492DA5">
              <w:rPr>
                <w:rFonts w:ascii="Gill Sans MT" w:hAnsi="Gill Sans MT" w:cs="Calibri"/>
                <w:b/>
              </w:rPr>
              <w:t>A</w:t>
            </w:r>
            <w:r w:rsidRPr="000566FA">
              <w:rPr>
                <w:rFonts w:ascii="Gill Sans MT" w:hAnsi="Gill Sans MT" w:cs="Calibri"/>
                <w:b/>
              </w:rPr>
              <w:t>poi</w:t>
            </w:r>
            <w:r>
              <w:rPr>
                <w:rFonts w:ascii="Gill Sans MT" w:hAnsi="Gill Sans MT" w:cs="Calibri"/>
                <w:b/>
              </w:rPr>
              <w:t>ar a</w:t>
            </w:r>
            <w:r w:rsidRPr="000566FA">
              <w:rPr>
                <w:rFonts w:ascii="Gill Sans MT" w:hAnsi="Gill Sans MT" w:cs="Calibri"/>
                <w:b/>
              </w:rPr>
              <w:t xml:space="preserve"> criação e aplicação de estratégias de internacionalização</w:t>
            </w:r>
            <w:r w:rsidRPr="000566FA">
              <w:rPr>
                <w:rFonts w:ascii="Gill Sans MT" w:hAnsi="Gill Sans MT" w:cs="Calibri"/>
              </w:rPr>
              <w:t xml:space="preserve"> nos estabelecimentos para prestadores de EFP que visem estabelecer os mecanismos de apoio necessários, bem como quadros contratuais, para a promoção da qualidade da mobilidade dos formadores e formandos de EFP</w:t>
            </w:r>
            <w:r>
              <w:rPr>
                <w:rFonts w:ascii="Gill Sans MT" w:hAnsi="Gill Sans MT" w:cs="Calibri"/>
              </w:rPr>
              <w:t>.</w:t>
            </w:r>
          </w:p>
          <w:p w14:paraId="0090B1CC" w14:textId="77777777" w:rsidR="008D5916" w:rsidRPr="000566FA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Wingdings"/>
              </w:rPr>
              <w:t xml:space="preserve"> </w:t>
            </w:r>
            <w:r w:rsidRPr="00492DA5">
              <w:rPr>
                <w:rFonts w:ascii="Gill Sans MT" w:hAnsi="Gill Sans MT" w:cs="Wingdings"/>
                <w:b/>
              </w:rPr>
              <w:t>P</w:t>
            </w:r>
            <w:r w:rsidRPr="000566FA">
              <w:rPr>
                <w:rFonts w:ascii="Gill Sans MT" w:hAnsi="Gill Sans MT" w:cs="Calibri"/>
                <w:b/>
              </w:rPr>
              <w:t>romo</w:t>
            </w:r>
            <w:r>
              <w:rPr>
                <w:rFonts w:ascii="Gill Sans MT" w:hAnsi="Gill Sans MT" w:cs="Calibri"/>
                <w:b/>
              </w:rPr>
              <w:t>ver a</w:t>
            </w:r>
            <w:r w:rsidRPr="000566FA">
              <w:rPr>
                <w:rFonts w:ascii="Gill Sans MT" w:hAnsi="Gill Sans MT" w:cs="Calibri"/>
                <w:b/>
              </w:rPr>
              <w:t xml:space="preserve"> aprendizagem em contexto de trabalho</w:t>
            </w:r>
            <w:r w:rsidRPr="000566FA">
              <w:rPr>
                <w:rFonts w:ascii="Gill Sans MT" w:hAnsi="Gill Sans MT" w:cs="Calibri"/>
              </w:rPr>
              <w:t xml:space="preserve"> em todas as suas vertentes e, no sentido da aplicação da Recomendação do Conselho sobre a criação de um Quadro Europeu para a Qualidade e Eficácia da Aprendizagem. </w:t>
            </w:r>
          </w:p>
          <w:p w14:paraId="4A0189D1" w14:textId="77777777" w:rsidR="008D5916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Wingdings"/>
              </w:rPr>
              <w:t xml:space="preserve"> </w:t>
            </w:r>
            <w:r w:rsidRPr="00492DA5">
              <w:rPr>
                <w:rFonts w:ascii="Gill Sans MT" w:hAnsi="Gill Sans MT" w:cs="Calibri"/>
                <w:b/>
              </w:rPr>
              <w:t>M</w:t>
            </w:r>
            <w:r w:rsidRPr="000566FA">
              <w:rPr>
                <w:rFonts w:ascii="Gill Sans MT" w:hAnsi="Gill Sans MT" w:cs="Calibri"/>
                <w:b/>
              </w:rPr>
              <w:t>elhor</w:t>
            </w:r>
            <w:r>
              <w:rPr>
                <w:rFonts w:ascii="Gill Sans MT" w:hAnsi="Gill Sans MT" w:cs="Calibri"/>
                <w:b/>
              </w:rPr>
              <w:t>ar a</w:t>
            </w:r>
            <w:r w:rsidRPr="000566FA">
              <w:rPr>
                <w:rFonts w:ascii="Gill Sans MT" w:hAnsi="Gill Sans MT" w:cs="Calibri"/>
                <w:b/>
              </w:rPr>
              <w:t xml:space="preserve"> qualidade da oferta de EFP</w:t>
            </w:r>
            <w:r w:rsidRPr="000566FA">
              <w:rPr>
                <w:rFonts w:ascii="Gill Sans MT" w:hAnsi="Gill Sans MT" w:cs="Calibri"/>
              </w:rPr>
              <w:t xml:space="preserve"> através do estabelecimento de circuitos de retorno de informação que permitam adaptar a oferta de EFP</w:t>
            </w:r>
            <w:r>
              <w:rPr>
                <w:rFonts w:ascii="Gill Sans MT" w:hAnsi="Gill Sans MT" w:cs="Calibri"/>
              </w:rPr>
              <w:t>.</w:t>
            </w:r>
          </w:p>
          <w:p w14:paraId="3811054C" w14:textId="77777777" w:rsidR="008D5916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Wingdings"/>
              </w:rPr>
              <w:t xml:space="preserve"> </w:t>
            </w:r>
            <w:r w:rsidRPr="000566FA">
              <w:rPr>
                <w:rFonts w:ascii="Gill Sans MT" w:hAnsi="Gill Sans MT" w:cs="Calibri"/>
                <w:b/>
              </w:rPr>
              <w:t>Aument</w:t>
            </w:r>
            <w:r>
              <w:rPr>
                <w:rFonts w:ascii="Gill Sans MT" w:hAnsi="Gill Sans MT" w:cs="Calibri"/>
                <w:b/>
              </w:rPr>
              <w:t xml:space="preserve">ar </w:t>
            </w:r>
            <w:r w:rsidRPr="000566FA">
              <w:rPr>
                <w:rFonts w:ascii="Gill Sans MT" w:hAnsi="Gill Sans MT" w:cs="Calibri"/>
                <w:b/>
              </w:rPr>
              <w:t>o acesso por todos à formação e qualificação</w:t>
            </w:r>
            <w:r w:rsidRPr="000566FA">
              <w:rPr>
                <w:rFonts w:ascii="Gill Sans MT" w:hAnsi="Gill Sans MT" w:cs="Calibri"/>
              </w:rPr>
              <w:t>, com especial atenção para os menos qualificados, através de EFP contínua, nomeadamente aumentando a qualidade, oferta e acessibilidade ao EFP contínuo, validando a aprendizagem formal e não formal, promovendo a aprendizagem em contexto de trabalho, providenciando serviços de orientação eficientes e integrados, bem como percursos de aprendizagem flexíveis e permeáveis</w:t>
            </w:r>
            <w:r>
              <w:rPr>
                <w:rFonts w:ascii="Gill Sans MT" w:hAnsi="Gill Sans MT" w:cs="Calibri"/>
              </w:rPr>
              <w:t>.</w:t>
            </w:r>
          </w:p>
          <w:p w14:paraId="000508E8" w14:textId="77777777" w:rsidR="008D5916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Wingdings"/>
              </w:rPr>
              <w:t xml:space="preserve"> </w:t>
            </w:r>
            <w:r w:rsidRPr="00795B54">
              <w:rPr>
                <w:rFonts w:ascii="Gill Sans MT" w:hAnsi="Gill Sans MT" w:cs="Calibri"/>
                <w:b/>
              </w:rPr>
              <w:t>R</w:t>
            </w:r>
            <w:r w:rsidRPr="000566FA">
              <w:rPr>
                <w:rFonts w:ascii="Gill Sans MT" w:hAnsi="Gill Sans MT" w:cs="Calibri"/>
                <w:b/>
              </w:rPr>
              <w:t>eforç</w:t>
            </w:r>
            <w:r>
              <w:rPr>
                <w:rFonts w:ascii="Gill Sans MT" w:hAnsi="Gill Sans MT" w:cs="Calibri"/>
                <w:b/>
              </w:rPr>
              <w:t>ar</w:t>
            </w:r>
            <w:r w:rsidRPr="000566FA">
              <w:rPr>
                <w:rFonts w:ascii="Gill Sans MT" w:hAnsi="Gill Sans MT" w:cs="Calibri"/>
                <w:b/>
              </w:rPr>
              <w:t xml:space="preserve"> competências fundamentais na EFP</w:t>
            </w:r>
            <w:r w:rsidRPr="000566FA">
              <w:rPr>
                <w:rFonts w:ascii="Gill Sans MT" w:hAnsi="Gill Sans MT" w:cs="Calibri"/>
              </w:rPr>
              <w:t xml:space="preserve"> inicial e contínua (nomeadamente nos domínios da literacia, numeracia, digital e das línguas), incluindo metodologias comuns para a introdução destas competências nos programas curriculares, bem como para a aquisição e avaliação dos resultados de aprendizagem nesses programas</w:t>
            </w:r>
            <w:r>
              <w:rPr>
                <w:rFonts w:ascii="Gill Sans MT" w:hAnsi="Gill Sans MT" w:cs="Calibri"/>
              </w:rPr>
              <w:t>.</w:t>
            </w:r>
          </w:p>
          <w:p w14:paraId="5C336D05" w14:textId="77777777" w:rsidR="008D5916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Wingdings"/>
              </w:rPr>
              <w:t xml:space="preserve"> </w:t>
            </w:r>
            <w:r w:rsidRPr="000566FA">
              <w:rPr>
                <w:rFonts w:ascii="Gill Sans MT" w:hAnsi="Gill Sans MT" w:cs="Calibri"/>
                <w:b/>
              </w:rPr>
              <w:t>Apoi</w:t>
            </w:r>
            <w:r>
              <w:rPr>
                <w:rFonts w:ascii="Gill Sans MT" w:hAnsi="Gill Sans MT" w:cs="Calibri"/>
                <w:b/>
              </w:rPr>
              <w:t xml:space="preserve">ar </w:t>
            </w:r>
            <w:r w:rsidRPr="000566FA">
              <w:rPr>
                <w:rFonts w:ascii="Gill Sans MT" w:hAnsi="Gill Sans MT" w:cs="Calibri"/>
                <w:b/>
              </w:rPr>
              <w:t>a adoção de abordagens inovadoras e tecnologias digitais</w:t>
            </w:r>
            <w:r w:rsidRPr="000566FA">
              <w:rPr>
                <w:rFonts w:ascii="Gill Sans MT" w:hAnsi="Gill Sans MT" w:cs="Calibri"/>
              </w:rPr>
              <w:t xml:space="preserve"> no ensino e na aprendizagem, tal como descrito no Plano de Ação para a Educação Digital</w:t>
            </w:r>
            <w:r>
              <w:rPr>
                <w:rFonts w:ascii="Gill Sans MT" w:hAnsi="Gill Sans MT" w:cs="Calibri"/>
              </w:rPr>
              <w:t>.</w:t>
            </w:r>
          </w:p>
          <w:p w14:paraId="3BEA3042" w14:textId="77777777" w:rsidR="008D5916" w:rsidRPr="000566FA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Wingdings"/>
              </w:rPr>
              <w:t xml:space="preserve"> </w:t>
            </w:r>
            <w:r w:rsidRPr="00795B54">
              <w:rPr>
                <w:rFonts w:ascii="Gill Sans MT" w:hAnsi="Gill Sans MT" w:cs="Calibri"/>
                <w:b/>
              </w:rPr>
              <w:t>I</w:t>
            </w:r>
            <w:r w:rsidRPr="000566FA">
              <w:rPr>
                <w:rFonts w:ascii="Gill Sans MT" w:hAnsi="Gill Sans MT" w:cs="Calibri"/>
                <w:b/>
              </w:rPr>
              <w:t>ntrodu</w:t>
            </w:r>
            <w:r>
              <w:rPr>
                <w:rFonts w:ascii="Gill Sans MT" w:hAnsi="Gill Sans MT" w:cs="Calibri"/>
                <w:b/>
              </w:rPr>
              <w:t>zir</w:t>
            </w:r>
            <w:r w:rsidRPr="000566FA">
              <w:rPr>
                <w:rFonts w:ascii="Gill Sans MT" w:hAnsi="Gill Sans MT" w:cs="Calibri"/>
                <w:b/>
              </w:rPr>
              <w:t xml:space="preserve"> estratégias sistémicas e oportunidades para o desenvolvimento profissional</w:t>
            </w:r>
            <w:r w:rsidRPr="000566FA">
              <w:rPr>
                <w:rFonts w:ascii="Gill Sans MT" w:hAnsi="Gill Sans MT" w:cs="Calibri"/>
              </w:rPr>
              <w:t xml:space="preserve"> </w:t>
            </w:r>
            <w:r w:rsidRPr="000566FA">
              <w:rPr>
                <w:rFonts w:ascii="Gill Sans MT" w:hAnsi="Gill Sans MT" w:cs="Calibri"/>
                <w:b/>
              </w:rPr>
              <w:t>inicial e contínuo de professores, formadores e mentores do EFP</w:t>
            </w:r>
            <w:r w:rsidRPr="000566FA">
              <w:rPr>
                <w:rFonts w:ascii="Gill Sans MT" w:hAnsi="Gill Sans MT" w:cs="Calibri"/>
              </w:rPr>
              <w:t>, quer em escolas, quer em contextos de trabalho (incluindo estágios)</w:t>
            </w:r>
            <w:r>
              <w:rPr>
                <w:rFonts w:ascii="Gill Sans MT" w:hAnsi="Gill Sans MT" w:cs="Calibri"/>
              </w:rPr>
              <w:t>.</w:t>
            </w:r>
          </w:p>
          <w:p w14:paraId="49391FEF" w14:textId="5B47D68A" w:rsidR="009A288A" w:rsidRPr="000566FA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Wingdings"/>
              </w:rPr>
              <w:t xml:space="preserve"> </w:t>
            </w:r>
            <w:r w:rsidRPr="00B20F76">
              <w:rPr>
                <w:rFonts w:ascii="Gill Sans MT" w:hAnsi="Gill Sans MT" w:cs="Wingdings"/>
                <w:b/>
              </w:rPr>
              <w:t>O</w:t>
            </w:r>
            <w:r w:rsidRPr="000566FA">
              <w:rPr>
                <w:rFonts w:ascii="Gill Sans MT" w:hAnsi="Gill Sans MT" w:cs="Calibri"/>
                <w:b/>
              </w:rPr>
              <w:t>rganiz</w:t>
            </w:r>
            <w:r>
              <w:rPr>
                <w:rFonts w:ascii="Gill Sans MT" w:hAnsi="Gill Sans MT" w:cs="Calibri"/>
                <w:b/>
              </w:rPr>
              <w:t>ar</w:t>
            </w:r>
            <w:r w:rsidRPr="000566FA">
              <w:rPr>
                <w:rFonts w:ascii="Gill Sans MT" w:hAnsi="Gill Sans MT" w:cs="Calibri"/>
                <w:b/>
              </w:rPr>
              <w:t xml:space="preserve"> e/ou refor</w:t>
            </w:r>
            <w:r>
              <w:rPr>
                <w:rFonts w:ascii="Gill Sans MT" w:hAnsi="Gill Sans MT" w:cs="Calibri"/>
                <w:b/>
              </w:rPr>
              <w:t>çar</w:t>
            </w:r>
            <w:r w:rsidRPr="000566FA">
              <w:rPr>
                <w:rFonts w:ascii="Gill Sans MT" w:hAnsi="Gill Sans MT" w:cs="Calibri"/>
                <w:b/>
              </w:rPr>
              <w:t xml:space="preserve"> a dinamização de concursos de competências a nível nacional, regional e setorial</w:t>
            </w:r>
            <w:r w:rsidRPr="000566FA">
              <w:rPr>
                <w:rFonts w:ascii="Gill Sans MT" w:hAnsi="Gill Sans MT" w:cs="Calibri"/>
              </w:rPr>
              <w:t xml:space="preserve"> como forma de aumentar o interesse e a excelência no EFP. </w:t>
            </w:r>
          </w:p>
        </w:tc>
      </w:tr>
      <w:tr w:rsidR="008D5916" w14:paraId="307031F7" w14:textId="77777777" w:rsidTr="008D5916">
        <w:tc>
          <w:tcPr>
            <w:tcW w:w="3114" w:type="dxa"/>
          </w:tcPr>
          <w:p w14:paraId="5B399763" w14:textId="77777777" w:rsidR="008D5916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  <w:b/>
                <w:bCs/>
              </w:rPr>
              <w:t>E</w:t>
            </w:r>
            <w:r w:rsidRPr="000566FA">
              <w:rPr>
                <w:rFonts w:ascii="Gill Sans MT" w:hAnsi="Gill Sans MT" w:cs="Calibri"/>
                <w:b/>
                <w:bCs/>
              </w:rPr>
              <w:t xml:space="preserve">nsino </w:t>
            </w:r>
            <w:r>
              <w:rPr>
                <w:rFonts w:ascii="Gill Sans MT" w:hAnsi="Gill Sans MT" w:cs="Calibri"/>
                <w:b/>
                <w:bCs/>
              </w:rPr>
              <w:t>S</w:t>
            </w:r>
            <w:r w:rsidRPr="000566FA">
              <w:rPr>
                <w:rFonts w:ascii="Gill Sans MT" w:hAnsi="Gill Sans MT" w:cs="Calibri"/>
                <w:b/>
                <w:bCs/>
              </w:rPr>
              <w:t>uperior</w:t>
            </w:r>
          </w:p>
          <w:p w14:paraId="55D16C39" w14:textId="77777777" w:rsidR="008D5916" w:rsidRPr="00B91344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  <w:b/>
              </w:rPr>
            </w:pPr>
          </w:p>
        </w:tc>
        <w:tc>
          <w:tcPr>
            <w:tcW w:w="10631" w:type="dxa"/>
          </w:tcPr>
          <w:p w14:paraId="1F7AE7D6" w14:textId="77777777" w:rsidR="008D5916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S</w:t>
            </w:r>
            <w:r w:rsidRPr="000566FA">
              <w:rPr>
                <w:rFonts w:ascii="Gill Sans MT" w:hAnsi="Gill Sans MT" w:cs="Calibri"/>
              </w:rPr>
              <w:t>erá dada prioridade a ações que intensifiquem a internacionalização e a mobilidade, bem como a articulação entre a educação, a investigação e a inovação, em consonância com os desafios identificados na Agenda Renovada da UE para o ensino superior, a Recomendação do Conselho sobre o acompanhamento dos percursos dos diplomados, a Comunicação sobre o Reforço da Identidade Europeia através da Educação e da Cultura e do Plano de Ação para a Educação Digital</w:t>
            </w:r>
            <w:r>
              <w:rPr>
                <w:rFonts w:ascii="Gill Sans MT" w:hAnsi="Gill Sans MT" w:cs="Calibri"/>
              </w:rPr>
              <w:t>:</w:t>
            </w:r>
          </w:p>
          <w:p w14:paraId="70A357D8" w14:textId="79F979E5" w:rsidR="008D5916" w:rsidRDefault="008D5916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Calibri"/>
              </w:rPr>
              <w:lastRenderedPageBreak/>
              <w:t xml:space="preserve"> </w:t>
            </w:r>
            <w:r w:rsidR="009A288A" w:rsidRPr="000566FA">
              <w:rPr>
                <w:rFonts w:ascii="Gill Sans MT" w:hAnsi="Gill Sans MT" w:cs="Wingdings"/>
              </w:rPr>
              <w:t></w:t>
            </w:r>
            <w:r w:rsidR="009A288A">
              <w:rPr>
                <w:rFonts w:ascii="Gill Sans MT" w:hAnsi="Gill Sans MT" w:cs="Wingdings"/>
              </w:rPr>
              <w:t xml:space="preserve"> </w:t>
            </w:r>
            <w:r w:rsidRPr="000566FA">
              <w:rPr>
                <w:rFonts w:ascii="Gill Sans MT" w:hAnsi="Gill Sans MT" w:cs="Calibri"/>
                <w:b/>
                <w:bCs/>
              </w:rPr>
              <w:t>Promover a internacionalização</w:t>
            </w:r>
            <w:r w:rsidRPr="000566FA">
              <w:rPr>
                <w:rFonts w:ascii="Gill Sans MT" w:hAnsi="Gill Sans MT" w:cs="Calibri"/>
              </w:rPr>
              <w:t>, nomeadamente através do reconhecimento mútuo automático de qualificações e resultados de aprendizagem, e que apoie as instituições de ensino superior na aplicação dos princípios do Processo de Bolonha e das ferramentas que permitam facilitar a mobilidade de todos e a concretização plena de um Espaço Educativo Europeu</w:t>
            </w:r>
            <w:r>
              <w:rPr>
                <w:rFonts w:ascii="Gill Sans MT" w:hAnsi="Gill Sans MT" w:cs="Calibri"/>
              </w:rPr>
              <w:t>.</w:t>
            </w:r>
          </w:p>
          <w:p w14:paraId="456DEBCF" w14:textId="69830EB6" w:rsidR="008D5916" w:rsidRPr="000566FA" w:rsidRDefault="009A288A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Wingdings"/>
              </w:rPr>
              <w:t></w:t>
            </w:r>
            <w:r>
              <w:rPr>
                <w:rFonts w:ascii="Gill Sans MT" w:hAnsi="Gill Sans MT" w:cs="Wingdings"/>
              </w:rPr>
              <w:t xml:space="preserve"> </w:t>
            </w:r>
            <w:r w:rsidR="008D5916" w:rsidRPr="000566FA">
              <w:rPr>
                <w:rFonts w:ascii="Gill Sans MT" w:hAnsi="Gill Sans MT" w:cs="Calibri"/>
                <w:b/>
                <w:bCs/>
              </w:rPr>
              <w:t xml:space="preserve">Combater lacunas e inadequações de competências </w:t>
            </w:r>
            <w:r w:rsidR="008D5916" w:rsidRPr="000566FA">
              <w:rPr>
                <w:rFonts w:ascii="Gill Sans MT" w:hAnsi="Gill Sans MT" w:cs="Calibri"/>
              </w:rPr>
              <w:t>através de: a) apoio a novas pedagogias inovadoras na conceção e no desenvolvimento de programas curriculares orientados para os resultados de aprendizagem</w:t>
            </w:r>
            <w:r w:rsidR="008D5916">
              <w:rPr>
                <w:rFonts w:ascii="Gill Sans MT" w:hAnsi="Gill Sans MT" w:cs="Calibri"/>
              </w:rPr>
              <w:t xml:space="preserve">; </w:t>
            </w:r>
            <w:r w:rsidR="008D5916" w:rsidRPr="000566FA">
              <w:rPr>
                <w:rFonts w:ascii="Gill Sans MT" w:hAnsi="Gill Sans MT" w:cs="Calibri"/>
              </w:rPr>
              <w:t>b) atividades destinadas a aumentar a adoção de matérias onde se verifica uma falha de competências e melhorar a orientação profissional; c) atividades que apoiem a aquisição de competências transferíveis, empresariais e digitais</w:t>
            </w:r>
            <w:r w:rsidR="008D5916">
              <w:rPr>
                <w:rFonts w:ascii="Gill Sans MT" w:hAnsi="Gill Sans MT" w:cs="Calibri"/>
              </w:rPr>
              <w:t>.</w:t>
            </w:r>
          </w:p>
          <w:p w14:paraId="24FC453C" w14:textId="1AA0B716" w:rsidR="008D5916" w:rsidRDefault="009A288A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Wingdings"/>
              </w:rPr>
              <w:t></w:t>
            </w:r>
            <w:r w:rsidR="008D5916" w:rsidRPr="000566FA">
              <w:rPr>
                <w:rFonts w:ascii="Gill Sans MT" w:hAnsi="Gill Sans MT" w:cs="Courier New"/>
              </w:rPr>
              <w:t xml:space="preserve"> </w:t>
            </w:r>
            <w:r w:rsidR="008D5916" w:rsidRPr="000566FA">
              <w:rPr>
                <w:rFonts w:ascii="Gill Sans MT" w:hAnsi="Gill Sans MT" w:cs="Calibri"/>
                <w:b/>
                <w:bCs/>
              </w:rPr>
              <w:t>Promover e recompensar a excelência no ensino e no desenvolvimento de competências</w:t>
            </w:r>
            <w:r w:rsidR="008D5916" w:rsidRPr="000566FA">
              <w:rPr>
                <w:rFonts w:ascii="Gill Sans MT" w:hAnsi="Gill Sans MT" w:cs="Calibri"/>
              </w:rPr>
              <w:t>, designadamente ao promover estruturas de incentivos e políticas de recursos humanos; b) incentivar a formação de académicos e o intercâmbio de boas práticas no domínio de pedagogias novas e inovadoras; c) dotar as instituições de condições que lhes permita</w:t>
            </w:r>
            <w:r w:rsidR="008D5916">
              <w:rPr>
                <w:rFonts w:ascii="Gill Sans MT" w:hAnsi="Gill Sans MT" w:cs="Calibri"/>
              </w:rPr>
              <w:t>m</w:t>
            </w:r>
            <w:r w:rsidR="008D5916" w:rsidRPr="000566FA">
              <w:rPr>
                <w:rFonts w:ascii="Gill Sans MT" w:hAnsi="Gill Sans MT" w:cs="Calibri"/>
              </w:rPr>
              <w:t xml:space="preserve"> disponibilizar uma maior variedade de cursos em linha; d) articular a educação com a investigação e a inovação, fomentar um ensino superior empreendedor, aberto e inovador; e promover parcerias de ensino e aprendizagem com parceiros comerciais e não comerciais do setor privado; </w:t>
            </w:r>
          </w:p>
          <w:p w14:paraId="7CF8CAE3" w14:textId="229DCBD0" w:rsidR="008D5916" w:rsidRDefault="009A288A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Wingdings"/>
              </w:rPr>
              <w:t></w:t>
            </w:r>
            <w:r w:rsidR="008D5916" w:rsidRPr="000566FA">
              <w:rPr>
                <w:rFonts w:ascii="Gill Sans MT" w:hAnsi="Gill Sans MT" w:cs="Courier New"/>
              </w:rPr>
              <w:t xml:space="preserve"> </w:t>
            </w:r>
            <w:r w:rsidR="008D5916" w:rsidRPr="000566FA">
              <w:rPr>
                <w:rFonts w:ascii="Gill Sans MT" w:hAnsi="Gill Sans MT" w:cs="Calibri"/>
                <w:b/>
                <w:bCs/>
              </w:rPr>
              <w:t>Elaborar sistemas de ensino superior inclusivos</w:t>
            </w:r>
            <w:r w:rsidR="008D5916" w:rsidRPr="000566FA">
              <w:rPr>
                <w:rFonts w:ascii="Gill Sans MT" w:hAnsi="Gill Sans MT" w:cs="Calibri"/>
              </w:rPr>
              <w:t>, ligados às comunidades vizinhas, aumentando a equidade no acesso, a participação e as taxas de conclusão dos grupos sub-representados e desfavorecidos e refugiados</w:t>
            </w:r>
            <w:r w:rsidR="008D5916">
              <w:rPr>
                <w:rFonts w:ascii="Gill Sans MT" w:hAnsi="Gill Sans MT" w:cs="Calibri"/>
              </w:rPr>
              <w:t>.</w:t>
            </w:r>
          </w:p>
          <w:p w14:paraId="766E5555" w14:textId="13F11420" w:rsidR="008D5916" w:rsidRPr="000566FA" w:rsidRDefault="009A288A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Wingdings"/>
              </w:rPr>
              <w:t></w:t>
            </w:r>
            <w:r w:rsidR="008D5916" w:rsidRPr="000566FA">
              <w:rPr>
                <w:rFonts w:ascii="Gill Sans MT" w:hAnsi="Gill Sans MT" w:cs="Courier New"/>
              </w:rPr>
              <w:t xml:space="preserve"> </w:t>
            </w:r>
            <w:r w:rsidR="008D5916" w:rsidRPr="000566FA">
              <w:rPr>
                <w:rFonts w:ascii="Gill Sans MT" w:hAnsi="Gill Sans MT" w:cs="Calibri"/>
                <w:b/>
              </w:rPr>
              <w:t xml:space="preserve">Consolidar e melhorar a </w:t>
            </w:r>
            <w:r w:rsidR="008D5916" w:rsidRPr="000566FA">
              <w:rPr>
                <w:rFonts w:ascii="Gill Sans MT" w:hAnsi="Gill Sans MT" w:cs="Calibri"/>
                <w:b/>
                <w:bCs/>
              </w:rPr>
              <w:t xml:space="preserve">base factual </w:t>
            </w:r>
            <w:r w:rsidR="008D5916" w:rsidRPr="000566FA">
              <w:rPr>
                <w:rFonts w:ascii="Gill Sans MT" w:hAnsi="Gill Sans MT" w:cs="Calibri"/>
                <w:b/>
              </w:rPr>
              <w:t xml:space="preserve">constituída no domínio do ensino superior </w:t>
            </w:r>
            <w:r w:rsidR="008D5916" w:rsidRPr="000566FA">
              <w:rPr>
                <w:rFonts w:ascii="Gill Sans MT" w:hAnsi="Gill Sans MT" w:cs="Calibri"/>
              </w:rPr>
              <w:t>ao medir o desempenho das políticas, dos sistemas e de instituições individuais no domínio do ensino superior</w:t>
            </w:r>
            <w:r w:rsidR="008D5916" w:rsidRPr="00DA18AB">
              <w:rPr>
                <w:rFonts w:ascii="Gill Sans MT" w:hAnsi="Gill Sans MT" w:cs="Calibri"/>
              </w:rPr>
              <w:t>.</w:t>
            </w:r>
          </w:p>
          <w:p w14:paraId="01CC9E3C" w14:textId="29E4D2D2" w:rsidR="008D5916" w:rsidRDefault="009A288A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Wingdings"/>
              </w:rPr>
              <w:t></w:t>
            </w:r>
            <w:r w:rsidR="008D5916" w:rsidRPr="000566FA">
              <w:rPr>
                <w:rFonts w:ascii="Gill Sans MT" w:hAnsi="Gill Sans MT" w:cs="Courier New"/>
              </w:rPr>
              <w:t xml:space="preserve"> </w:t>
            </w:r>
            <w:r w:rsidR="008D5916" w:rsidRPr="000566FA">
              <w:rPr>
                <w:rFonts w:ascii="Gill Sans MT" w:hAnsi="Gill Sans MT" w:cs="Calibri"/>
                <w:b/>
                <w:bCs/>
              </w:rPr>
              <w:t xml:space="preserve">Promover modelos de financiamento e governança eficazes e eficientes ao nível do sistema, </w:t>
            </w:r>
            <w:r w:rsidR="008D5916" w:rsidRPr="000566FA">
              <w:rPr>
                <w:rFonts w:ascii="Gill Sans MT" w:hAnsi="Gill Sans MT" w:cs="Calibri"/>
              </w:rPr>
              <w:t>que premeiem o bom ensino, a inovação e a relevância para a comunidade</w:t>
            </w:r>
            <w:r w:rsidR="008D5916">
              <w:rPr>
                <w:rFonts w:ascii="Gill Sans MT" w:hAnsi="Gill Sans MT" w:cs="Calibri"/>
              </w:rPr>
              <w:t>.</w:t>
            </w:r>
            <w:r w:rsidR="008D5916" w:rsidRPr="000566FA">
              <w:rPr>
                <w:rFonts w:ascii="Gill Sans MT" w:hAnsi="Gill Sans MT" w:cs="Calibri"/>
              </w:rPr>
              <w:t xml:space="preserve"> </w:t>
            </w:r>
          </w:p>
          <w:p w14:paraId="5E319D66" w14:textId="01E67D93" w:rsidR="008D5916" w:rsidRPr="000566FA" w:rsidRDefault="009A288A" w:rsidP="008D5916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Wingdings"/>
              </w:rPr>
              <w:t></w:t>
            </w:r>
            <w:r w:rsidR="008D5916" w:rsidRPr="000566FA">
              <w:rPr>
                <w:rFonts w:ascii="Gill Sans MT" w:hAnsi="Gill Sans MT" w:cs="Courier New"/>
              </w:rPr>
              <w:t xml:space="preserve"> </w:t>
            </w:r>
            <w:r w:rsidR="008D5916" w:rsidRPr="000566FA">
              <w:rPr>
                <w:rFonts w:ascii="Gill Sans MT" w:hAnsi="Gill Sans MT" w:cs="Calibri"/>
                <w:b/>
                <w:bCs/>
              </w:rPr>
              <w:t xml:space="preserve">Apoiar a implementação do </w:t>
            </w:r>
            <w:r w:rsidR="008D5916">
              <w:rPr>
                <w:rFonts w:ascii="Gill Sans MT" w:hAnsi="Gill Sans MT" w:cs="Calibri"/>
                <w:b/>
                <w:bCs/>
              </w:rPr>
              <w:t>C</w:t>
            </w:r>
            <w:r w:rsidR="008D5916" w:rsidRPr="000566FA">
              <w:rPr>
                <w:rFonts w:ascii="Gill Sans MT" w:hAnsi="Gill Sans MT" w:cs="Calibri"/>
                <w:b/>
                <w:bCs/>
              </w:rPr>
              <w:t xml:space="preserve">artão de </w:t>
            </w:r>
            <w:r w:rsidR="008D5916">
              <w:rPr>
                <w:rFonts w:ascii="Gill Sans MT" w:hAnsi="Gill Sans MT" w:cs="Calibri"/>
                <w:b/>
                <w:bCs/>
              </w:rPr>
              <w:t>E</w:t>
            </w:r>
            <w:r w:rsidR="008D5916" w:rsidRPr="000566FA">
              <w:rPr>
                <w:rFonts w:ascii="Gill Sans MT" w:hAnsi="Gill Sans MT" w:cs="Calibri"/>
                <w:b/>
                <w:bCs/>
              </w:rPr>
              <w:t xml:space="preserve">studante </w:t>
            </w:r>
            <w:r w:rsidR="008D5916">
              <w:rPr>
                <w:rFonts w:ascii="Gill Sans MT" w:hAnsi="Gill Sans MT" w:cs="Calibri"/>
                <w:b/>
                <w:bCs/>
              </w:rPr>
              <w:t>E</w:t>
            </w:r>
            <w:r w:rsidR="008D5916" w:rsidRPr="000566FA">
              <w:rPr>
                <w:rFonts w:ascii="Gill Sans MT" w:hAnsi="Gill Sans MT" w:cs="Calibri"/>
                <w:b/>
                <w:bCs/>
              </w:rPr>
              <w:t xml:space="preserve">uropeu </w:t>
            </w:r>
            <w:r w:rsidR="008D5916" w:rsidRPr="000566FA">
              <w:rPr>
                <w:rFonts w:ascii="Gill Sans MT" w:hAnsi="Gill Sans MT" w:cs="Calibri"/>
              </w:rPr>
              <w:t>para simplificar e facilitar a mobilidade dos estudantes na Europa</w:t>
            </w:r>
            <w:r w:rsidR="008D5916">
              <w:rPr>
                <w:rFonts w:ascii="Gill Sans MT" w:hAnsi="Gill Sans MT" w:cs="Calibri"/>
              </w:rPr>
              <w:t>.</w:t>
            </w:r>
          </w:p>
        </w:tc>
      </w:tr>
      <w:tr w:rsidR="008D5916" w:rsidRPr="00CC21C9" w14:paraId="1522C29E" w14:textId="77777777" w:rsidTr="008D5916">
        <w:tc>
          <w:tcPr>
            <w:tcW w:w="3114" w:type="dxa"/>
          </w:tcPr>
          <w:p w14:paraId="7190F0FA" w14:textId="77777777" w:rsidR="008D5916" w:rsidRPr="00CC21C9" w:rsidRDefault="008D5916" w:rsidP="00CC21C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  <w:b/>
                <w:bCs/>
              </w:rPr>
            </w:pPr>
            <w:r w:rsidRPr="00CC21C9">
              <w:rPr>
                <w:rFonts w:ascii="Gill Sans MT" w:hAnsi="Gill Sans MT" w:cs="Calibri"/>
                <w:b/>
                <w:color w:val="000000"/>
              </w:rPr>
              <w:lastRenderedPageBreak/>
              <w:t>E</w:t>
            </w:r>
            <w:r w:rsidRPr="000566FA">
              <w:rPr>
                <w:rFonts w:ascii="Gill Sans MT" w:hAnsi="Gill Sans MT" w:cs="Calibri"/>
                <w:b/>
                <w:bCs/>
              </w:rPr>
              <w:t xml:space="preserve">ducação de </w:t>
            </w:r>
            <w:r w:rsidRPr="00CC21C9">
              <w:rPr>
                <w:rFonts w:ascii="Gill Sans MT" w:hAnsi="Gill Sans MT" w:cs="Calibri"/>
                <w:b/>
                <w:bCs/>
              </w:rPr>
              <w:t>A</w:t>
            </w:r>
            <w:r w:rsidRPr="000566FA">
              <w:rPr>
                <w:rFonts w:ascii="Gill Sans MT" w:hAnsi="Gill Sans MT" w:cs="Calibri"/>
                <w:b/>
                <w:bCs/>
              </w:rPr>
              <w:t>dultos</w:t>
            </w:r>
          </w:p>
          <w:p w14:paraId="7E5E6A4C" w14:textId="77777777" w:rsidR="008D5916" w:rsidRPr="00CC21C9" w:rsidRDefault="008D5916" w:rsidP="00CC21C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  <w:b/>
                <w:bCs/>
              </w:rPr>
            </w:pPr>
          </w:p>
        </w:tc>
        <w:tc>
          <w:tcPr>
            <w:tcW w:w="10631" w:type="dxa"/>
          </w:tcPr>
          <w:p w14:paraId="10D32F5D" w14:textId="77777777" w:rsidR="008D5916" w:rsidRPr="00CC21C9" w:rsidRDefault="008D5916" w:rsidP="00CC21C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CC21C9">
              <w:rPr>
                <w:rFonts w:ascii="Gill Sans MT" w:hAnsi="Gill Sans MT" w:cs="Calibri"/>
                <w:bCs/>
              </w:rPr>
              <w:t>E</w:t>
            </w:r>
            <w:r w:rsidRPr="000566FA">
              <w:rPr>
                <w:rFonts w:ascii="Gill Sans MT" w:hAnsi="Gill Sans MT" w:cs="Calibri"/>
              </w:rPr>
              <w:t xml:space="preserve">m consonância com as prioridades da EF2020/Agenda Europeia no domínio da Educação de Adultos e a Recomendação do Conselho sobre percursos de melhoria de competências: Novas Oportunidades para Adultos, será dada prioridade a: </w:t>
            </w:r>
          </w:p>
          <w:p w14:paraId="19D4CA5E" w14:textId="77777777" w:rsidR="008D5916" w:rsidRPr="00CC21C9" w:rsidRDefault="008D5916" w:rsidP="00CC21C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Wingdings"/>
              </w:rPr>
              <w:t xml:space="preserve"> </w:t>
            </w:r>
            <w:r w:rsidRPr="000566FA">
              <w:rPr>
                <w:rFonts w:ascii="Gill Sans MT" w:hAnsi="Gill Sans MT" w:cs="Calibri"/>
                <w:b/>
              </w:rPr>
              <w:t>Melhorar e alargar a</w:t>
            </w:r>
            <w:r w:rsidRPr="000566FA">
              <w:rPr>
                <w:rFonts w:ascii="Gill Sans MT" w:hAnsi="Gill Sans MT" w:cs="Calibri"/>
              </w:rPr>
              <w:t xml:space="preserve"> </w:t>
            </w:r>
            <w:r w:rsidRPr="000566FA">
              <w:rPr>
                <w:rFonts w:ascii="Gill Sans MT" w:hAnsi="Gill Sans MT" w:cs="Calibri"/>
                <w:b/>
                <w:bCs/>
              </w:rPr>
              <w:t xml:space="preserve">oferta de oportunidades de educação de elevada qualidade </w:t>
            </w:r>
            <w:r w:rsidRPr="000566FA">
              <w:rPr>
                <w:rFonts w:ascii="Gill Sans MT" w:hAnsi="Gill Sans MT" w:cs="Calibri"/>
              </w:rPr>
              <w:t>adaptadas às necessidades de adultos com baixos níveis de competências ou qualificações, que lhes permita reforçar as suas competências da literacia, numeracia ou literacia digita</w:t>
            </w:r>
            <w:r w:rsidRPr="00CC21C9">
              <w:rPr>
                <w:rFonts w:ascii="Gill Sans MT" w:hAnsi="Gill Sans MT" w:cs="Calibri"/>
              </w:rPr>
              <w:t>l.</w:t>
            </w:r>
            <w:r w:rsidRPr="000566FA">
              <w:rPr>
                <w:rFonts w:ascii="Gill Sans MT" w:hAnsi="Gill Sans MT" w:cs="Calibri"/>
              </w:rPr>
              <w:t xml:space="preserve"> </w:t>
            </w:r>
          </w:p>
          <w:p w14:paraId="13642B41" w14:textId="77777777" w:rsidR="008D5916" w:rsidRPr="00CC21C9" w:rsidRDefault="008D5916" w:rsidP="00CC21C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  <w:bCs/>
              </w:rPr>
            </w:pPr>
            <w:r w:rsidRPr="000566FA">
              <w:rPr>
                <w:rFonts w:ascii="Gill Sans MT" w:hAnsi="Gill Sans MT" w:cs="Wingdings"/>
              </w:rPr>
              <w:t xml:space="preserve"> </w:t>
            </w:r>
            <w:r w:rsidRPr="000566FA">
              <w:rPr>
                <w:rFonts w:ascii="Gill Sans MT" w:hAnsi="Gill Sans MT" w:cs="Calibri"/>
                <w:b/>
              </w:rPr>
              <w:t xml:space="preserve">Apoiar a criação e o </w:t>
            </w:r>
            <w:r w:rsidRPr="000566FA">
              <w:rPr>
                <w:rFonts w:ascii="Gill Sans MT" w:hAnsi="Gill Sans MT" w:cs="Calibri"/>
                <w:b/>
                <w:bCs/>
              </w:rPr>
              <w:t xml:space="preserve">acesso a percursos de melhoria de competências, </w:t>
            </w:r>
            <w:r w:rsidRPr="000566FA">
              <w:rPr>
                <w:rFonts w:ascii="Gill Sans MT" w:hAnsi="Gill Sans MT" w:cs="Calibri"/>
                <w:bCs/>
              </w:rPr>
              <w:t>disponibilizando mecanismos de identificação e seleção de competências, ofertas de ensino adaptadas às necessidades de aprendizagem individuais, reconhecimento de modos de aprendizagem flexíveis e através da validação das competências adquiridas através da aprendizagem formal e não formal</w:t>
            </w:r>
            <w:r w:rsidRPr="00CC21C9">
              <w:rPr>
                <w:rFonts w:ascii="Gill Sans MT" w:hAnsi="Gill Sans MT" w:cs="Calibri"/>
                <w:bCs/>
              </w:rPr>
              <w:t>.</w:t>
            </w:r>
          </w:p>
          <w:p w14:paraId="04DC0B73" w14:textId="77777777" w:rsidR="008D5916" w:rsidRPr="00CC21C9" w:rsidRDefault="008D5916" w:rsidP="00CC21C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Wingdings"/>
              </w:rPr>
              <w:lastRenderedPageBreak/>
              <w:t xml:space="preserve"> </w:t>
            </w:r>
            <w:r w:rsidRPr="000566FA">
              <w:rPr>
                <w:rFonts w:ascii="Gill Sans MT" w:hAnsi="Gill Sans MT" w:cs="Calibri"/>
                <w:b/>
              </w:rPr>
              <w:t>Aumentar a</w:t>
            </w:r>
            <w:r w:rsidRPr="000566FA">
              <w:rPr>
                <w:rFonts w:ascii="Gill Sans MT" w:hAnsi="Gill Sans MT" w:cs="Calibri"/>
              </w:rPr>
              <w:t xml:space="preserve"> </w:t>
            </w:r>
            <w:r w:rsidRPr="000566FA">
              <w:rPr>
                <w:rFonts w:ascii="Gill Sans MT" w:hAnsi="Gill Sans MT" w:cs="Calibri"/>
                <w:b/>
                <w:bCs/>
              </w:rPr>
              <w:t>procura e adesão</w:t>
            </w:r>
            <w:r w:rsidRPr="000566FA">
              <w:rPr>
                <w:rFonts w:ascii="Gill Sans MT" w:hAnsi="Gill Sans MT" w:cs="Calibri"/>
              </w:rPr>
              <w:t>, através de uma sensibilização eficaz, a estratégias de aconselhamento e motivação que encorajem os adultos com baixos níveis de competências ou de qualificações a desenvolverem e melhorarem as suas competências</w:t>
            </w:r>
            <w:r w:rsidRPr="00CC21C9">
              <w:rPr>
                <w:rFonts w:ascii="Gill Sans MT" w:hAnsi="Gill Sans MT" w:cs="Calibri"/>
              </w:rPr>
              <w:t>.</w:t>
            </w:r>
          </w:p>
          <w:p w14:paraId="08AFDC0D" w14:textId="77777777" w:rsidR="008D5916" w:rsidRPr="00CC21C9" w:rsidRDefault="008D5916" w:rsidP="00CC21C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</w:rPr>
            </w:pPr>
            <w:r w:rsidRPr="000566FA">
              <w:rPr>
                <w:rFonts w:ascii="Gill Sans MT" w:hAnsi="Gill Sans MT" w:cs="Wingdings"/>
              </w:rPr>
              <w:t xml:space="preserve"> </w:t>
            </w:r>
            <w:r w:rsidRPr="000566FA">
              <w:rPr>
                <w:rFonts w:ascii="Gill Sans MT" w:hAnsi="Gill Sans MT" w:cs="Calibri"/>
                <w:b/>
              </w:rPr>
              <w:t>Alargar e desenvolver</w:t>
            </w:r>
            <w:r w:rsidRPr="000566FA">
              <w:rPr>
                <w:rFonts w:ascii="Gill Sans MT" w:hAnsi="Gill Sans MT" w:cs="Calibri"/>
              </w:rPr>
              <w:t xml:space="preserve"> </w:t>
            </w:r>
            <w:r w:rsidRPr="000566FA">
              <w:rPr>
                <w:rFonts w:ascii="Gill Sans MT" w:hAnsi="Gill Sans MT" w:cs="Calibri"/>
                <w:b/>
                <w:bCs/>
              </w:rPr>
              <w:t xml:space="preserve">as competências dos educadores </w:t>
            </w:r>
            <w:r w:rsidRPr="000566FA">
              <w:rPr>
                <w:rFonts w:ascii="Gill Sans MT" w:hAnsi="Gill Sans MT" w:cs="Calibri"/>
              </w:rPr>
              <w:t>e outro pessoal que presta apoio aos formandos adultos</w:t>
            </w:r>
            <w:r w:rsidRPr="00CC21C9">
              <w:rPr>
                <w:rFonts w:ascii="Gill Sans MT" w:hAnsi="Gill Sans MT" w:cs="Calibri"/>
              </w:rPr>
              <w:t>.</w:t>
            </w:r>
          </w:p>
          <w:p w14:paraId="0720ECA2" w14:textId="2483A36D" w:rsidR="008D5916" w:rsidRPr="00CC21C9" w:rsidRDefault="008D5916" w:rsidP="00CC21C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Calibri"/>
                <w:b/>
                <w:bCs/>
              </w:rPr>
            </w:pPr>
            <w:r w:rsidRPr="000566FA">
              <w:rPr>
                <w:rFonts w:ascii="Gill Sans MT" w:hAnsi="Gill Sans MT" w:cs="Wingdings"/>
              </w:rPr>
              <w:t xml:space="preserve"> </w:t>
            </w:r>
            <w:r w:rsidRPr="000566FA">
              <w:rPr>
                <w:rFonts w:ascii="Gill Sans MT" w:hAnsi="Gill Sans MT" w:cs="Calibri"/>
                <w:b/>
              </w:rPr>
              <w:t xml:space="preserve">Desenvolver </w:t>
            </w:r>
            <w:r w:rsidRPr="000566FA">
              <w:rPr>
                <w:rFonts w:ascii="Gill Sans MT" w:hAnsi="Gill Sans MT" w:cs="Calibri"/>
                <w:b/>
                <w:bCs/>
              </w:rPr>
              <w:t xml:space="preserve">mecanismos para controlar a eficácia </w:t>
            </w:r>
            <w:r w:rsidRPr="000566FA">
              <w:rPr>
                <w:rFonts w:ascii="Gill Sans MT" w:hAnsi="Gill Sans MT" w:cs="Calibri"/>
              </w:rPr>
              <w:t xml:space="preserve">das políticas de educação de adultos ou para acompanhar a evolução dos educandos adultos. </w:t>
            </w:r>
          </w:p>
        </w:tc>
      </w:tr>
    </w:tbl>
    <w:p w14:paraId="7C3D8B25" w14:textId="77777777" w:rsidR="00940C44" w:rsidRDefault="00940C44" w:rsidP="00A43BA4">
      <w:pPr>
        <w:spacing w:after="0" w:line="240" w:lineRule="auto"/>
        <w:jc w:val="both"/>
        <w:rPr>
          <w:rFonts w:ascii="Gill Sans MT" w:hAnsi="Gill Sans MT"/>
          <w:b/>
          <w:color w:val="222222"/>
        </w:rPr>
      </w:pPr>
      <w:bookmarkStart w:id="0" w:name="_GoBack"/>
      <w:bookmarkEnd w:id="0"/>
    </w:p>
    <w:sectPr w:rsidR="00940C44" w:rsidSect="008D5916">
      <w:footerReference w:type="defaul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094B2" w14:textId="77777777" w:rsidR="00B7630F" w:rsidRDefault="00B7630F" w:rsidP="004E5BC4">
      <w:pPr>
        <w:spacing w:after="0" w:line="240" w:lineRule="auto"/>
      </w:pPr>
      <w:r>
        <w:separator/>
      </w:r>
    </w:p>
  </w:endnote>
  <w:endnote w:type="continuationSeparator" w:id="0">
    <w:p w14:paraId="3F0D3531" w14:textId="77777777" w:rsidR="00B7630F" w:rsidRDefault="00B7630F" w:rsidP="004E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1043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207F25" w14:textId="44993992" w:rsidR="00314841" w:rsidRDefault="0031484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B362B8" w14:textId="77777777" w:rsidR="00314841" w:rsidRDefault="003148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2DA19" w14:textId="77777777" w:rsidR="00B7630F" w:rsidRDefault="00B7630F" w:rsidP="004E5BC4">
      <w:pPr>
        <w:spacing w:after="0" w:line="240" w:lineRule="auto"/>
      </w:pPr>
      <w:r>
        <w:separator/>
      </w:r>
    </w:p>
  </w:footnote>
  <w:footnote w:type="continuationSeparator" w:id="0">
    <w:p w14:paraId="28825135" w14:textId="77777777" w:rsidR="00B7630F" w:rsidRDefault="00B7630F" w:rsidP="004E5BC4">
      <w:pPr>
        <w:spacing w:after="0" w:line="240" w:lineRule="auto"/>
      </w:pPr>
      <w:r>
        <w:continuationSeparator/>
      </w:r>
    </w:p>
  </w:footnote>
  <w:footnote w:id="1">
    <w:p w14:paraId="29E1CFDB" w14:textId="19E14898" w:rsidR="00A43BA4" w:rsidRPr="00CC3453" w:rsidRDefault="00A43BA4" w:rsidP="00EA522F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  <w:sz w:val="16"/>
          <w:szCs w:val="16"/>
        </w:rPr>
      </w:pPr>
      <w:r w:rsidRPr="00695F2E">
        <w:rPr>
          <w:rStyle w:val="Refdenotaderodap"/>
          <w:rFonts w:ascii="Gill Sans MT" w:hAnsi="Gill Sans MT"/>
        </w:rPr>
        <w:footnoteRef/>
      </w:r>
      <w:r w:rsidRPr="00695F2E">
        <w:rPr>
          <w:rFonts w:ascii="Gill Sans MT" w:hAnsi="Gill Sans MT"/>
        </w:rPr>
        <w:t xml:space="preserve"> </w:t>
      </w:r>
      <w:r w:rsidRPr="00CC3453">
        <w:rPr>
          <w:rFonts w:ascii="Gill Sans MT" w:hAnsi="Gill Sans MT"/>
          <w:sz w:val="16"/>
          <w:szCs w:val="16"/>
        </w:rPr>
        <w:t xml:space="preserve">Consulte o Guia Erasmus+ 2019 para informação detalhada sobre as prioridades horizontais e setoriais das Parcerias Estratégicas. </w:t>
      </w:r>
      <w:hyperlink r:id="rId1" w:history="1">
        <w:r w:rsidRPr="00CC3453">
          <w:rPr>
            <w:rStyle w:val="Hiperligao"/>
            <w:rFonts w:ascii="Gill Sans MT" w:hAnsi="Gill Sans MT"/>
            <w:sz w:val="16"/>
            <w:szCs w:val="16"/>
          </w:rPr>
          <w:t>https://ec.europa.eu/programmes/erasmus-plus/sites/erasmusplus2/files/erasmus-plus-programme-guide-2019_pt.pdf</w:t>
        </w:r>
      </w:hyperlink>
    </w:p>
  </w:footnote>
  <w:footnote w:id="2">
    <w:p w14:paraId="6DA9D381" w14:textId="1FAB7CB7" w:rsidR="00EA522F" w:rsidRPr="00CC3453" w:rsidRDefault="00EA522F" w:rsidP="00EA522F">
      <w:pPr>
        <w:spacing w:after="0" w:line="240" w:lineRule="auto"/>
        <w:rPr>
          <w:rFonts w:ascii="Gill Sans MT" w:hAnsi="Gill Sans MT"/>
          <w:sz w:val="16"/>
          <w:szCs w:val="16"/>
        </w:rPr>
      </w:pPr>
      <w:r w:rsidRPr="00CC3453">
        <w:rPr>
          <w:rStyle w:val="Refdenotaderodap"/>
          <w:sz w:val="16"/>
          <w:szCs w:val="16"/>
        </w:rPr>
        <w:footnoteRef/>
      </w:r>
      <w:r w:rsidRPr="00CC3453">
        <w:rPr>
          <w:sz w:val="16"/>
          <w:szCs w:val="16"/>
        </w:rPr>
        <w:t xml:space="preserve"> </w:t>
      </w:r>
      <w:r w:rsidRPr="00CC3453">
        <w:rPr>
          <w:rFonts w:ascii="Gill Sans MT" w:hAnsi="Gill Sans MT"/>
          <w:sz w:val="16"/>
          <w:szCs w:val="16"/>
        </w:rPr>
        <w:t xml:space="preserve">Para serem financiadas, as parcerias terão de abordar pelo menos uma prioridade horizontal ou pelo menos uma prioridade específica pertinente do domínio da educação e da formação. </w:t>
      </w:r>
    </w:p>
    <w:p w14:paraId="6A60E636" w14:textId="3A39BC75" w:rsidR="00EA522F" w:rsidRPr="00CC3453" w:rsidRDefault="00EA522F">
      <w:pPr>
        <w:pStyle w:val="Textodenotaderodap"/>
        <w:rPr>
          <w:sz w:val="16"/>
          <w:szCs w:val="16"/>
          <w:lang w:val="pt-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512"/>
    <w:multiLevelType w:val="hybridMultilevel"/>
    <w:tmpl w:val="DA12647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5A7D"/>
    <w:multiLevelType w:val="hybridMultilevel"/>
    <w:tmpl w:val="18085832"/>
    <w:lvl w:ilvl="0" w:tplc="7932FA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12335"/>
    <w:multiLevelType w:val="hybridMultilevel"/>
    <w:tmpl w:val="C4BE499E"/>
    <w:lvl w:ilvl="0" w:tplc="ABF2F05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3C4052"/>
    <w:multiLevelType w:val="hybridMultilevel"/>
    <w:tmpl w:val="B9465794"/>
    <w:lvl w:ilvl="0" w:tplc="687A8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687A80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E2008"/>
    <w:multiLevelType w:val="hybridMultilevel"/>
    <w:tmpl w:val="9DFC7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4038E"/>
    <w:multiLevelType w:val="hybridMultilevel"/>
    <w:tmpl w:val="23FE38B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9D554E"/>
    <w:multiLevelType w:val="hybridMultilevel"/>
    <w:tmpl w:val="5D84177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87A80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545B0"/>
    <w:multiLevelType w:val="hybridMultilevel"/>
    <w:tmpl w:val="EC4CAA1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58214A6">
      <w:numFmt w:val="bullet"/>
      <w:lvlText w:val="•"/>
      <w:lvlJc w:val="left"/>
      <w:pPr>
        <w:ind w:left="1440" w:hanging="360"/>
      </w:pPr>
      <w:rPr>
        <w:rFonts w:ascii="Gill Sans MT" w:eastAsia="Times New Roman" w:hAnsi="Gill Sans MT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C1820"/>
    <w:multiLevelType w:val="hybridMultilevel"/>
    <w:tmpl w:val="CD885242"/>
    <w:lvl w:ilvl="0" w:tplc="319821F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0C0EED"/>
    <w:multiLevelType w:val="hybridMultilevel"/>
    <w:tmpl w:val="A5FC45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62822"/>
    <w:multiLevelType w:val="hybridMultilevel"/>
    <w:tmpl w:val="C1E613B6"/>
    <w:lvl w:ilvl="0" w:tplc="687A802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687A8020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11118"/>
    <w:multiLevelType w:val="multilevel"/>
    <w:tmpl w:val="FE00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BB76EF"/>
    <w:multiLevelType w:val="hybridMultilevel"/>
    <w:tmpl w:val="DE9829A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F7DC3"/>
    <w:multiLevelType w:val="hybridMultilevel"/>
    <w:tmpl w:val="955EC1D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381DE6"/>
    <w:multiLevelType w:val="hybridMultilevel"/>
    <w:tmpl w:val="563E186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B3973"/>
    <w:multiLevelType w:val="hybridMultilevel"/>
    <w:tmpl w:val="6A42CE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EF2B0E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E7D27"/>
    <w:multiLevelType w:val="hybridMultilevel"/>
    <w:tmpl w:val="5D40E252"/>
    <w:lvl w:ilvl="0" w:tplc="ADEE0B92">
      <w:start w:val="2"/>
      <w:numFmt w:val="decimal"/>
      <w:lvlText w:val="%1)"/>
      <w:lvlJc w:val="left"/>
      <w:pPr>
        <w:ind w:left="1776" w:hanging="360"/>
      </w:pPr>
      <w:rPr>
        <w:rFonts w:cs="Times New Roman"/>
        <w:b/>
      </w:rPr>
    </w:lvl>
    <w:lvl w:ilvl="1" w:tplc="08160019">
      <w:start w:val="1"/>
      <w:numFmt w:val="lowerLetter"/>
      <w:lvlText w:val="%2."/>
      <w:lvlJc w:val="left"/>
      <w:pPr>
        <w:ind w:left="2496" w:hanging="360"/>
      </w:pPr>
    </w:lvl>
    <w:lvl w:ilvl="2" w:tplc="0816001B">
      <w:start w:val="1"/>
      <w:numFmt w:val="lowerRoman"/>
      <w:lvlText w:val="%3."/>
      <w:lvlJc w:val="right"/>
      <w:pPr>
        <w:ind w:left="3216" w:hanging="180"/>
      </w:pPr>
    </w:lvl>
    <w:lvl w:ilvl="3" w:tplc="0816000F">
      <w:start w:val="1"/>
      <w:numFmt w:val="decimal"/>
      <w:lvlText w:val="%4."/>
      <w:lvlJc w:val="left"/>
      <w:pPr>
        <w:ind w:left="3936" w:hanging="360"/>
      </w:pPr>
    </w:lvl>
    <w:lvl w:ilvl="4" w:tplc="08160019">
      <w:start w:val="1"/>
      <w:numFmt w:val="lowerLetter"/>
      <w:lvlText w:val="%5."/>
      <w:lvlJc w:val="left"/>
      <w:pPr>
        <w:ind w:left="4656" w:hanging="360"/>
      </w:pPr>
    </w:lvl>
    <w:lvl w:ilvl="5" w:tplc="0816001B">
      <w:start w:val="1"/>
      <w:numFmt w:val="lowerRoman"/>
      <w:lvlText w:val="%6."/>
      <w:lvlJc w:val="right"/>
      <w:pPr>
        <w:ind w:left="5376" w:hanging="180"/>
      </w:pPr>
    </w:lvl>
    <w:lvl w:ilvl="6" w:tplc="0816000F">
      <w:start w:val="1"/>
      <w:numFmt w:val="decimal"/>
      <w:lvlText w:val="%7."/>
      <w:lvlJc w:val="left"/>
      <w:pPr>
        <w:ind w:left="6096" w:hanging="360"/>
      </w:pPr>
    </w:lvl>
    <w:lvl w:ilvl="7" w:tplc="08160019">
      <w:start w:val="1"/>
      <w:numFmt w:val="lowerLetter"/>
      <w:lvlText w:val="%8."/>
      <w:lvlJc w:val="left"/>
      <w:pPr>
        <w:ind w:left="6816" w:hanging="360"/>
      </w:pPr>
    </w:lvl>
    <w:lvl w:ilvl="8" w:tplc="0816001B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E8A69DF"/>
    <w:multiLevelType w:val="hybridMultilevel"/>
    <w:tmpl w:val="3BB05838"/>
    <w:lvl w:ilvl="0" w:tplc="B8F2A474">
      <w:start w:val="1"/>
      <w:numFmt w:val="bullet"/>
      <w:pStyle w:val="Guide-Bulletsspace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47232"/>
    <w:multiLevelType w:val="hybridMultilevel"/>
    <w:tmpl w:val="5560DCF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E30D1"/>
    <w:multiLevelType w:val="hybridMultilevel"/>
    <w:tmpl w:val="F3C0D3F2"/>
    <w:lvl w:ilvl="0" w:tplc="687A8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65417"/>
    <w:multiLevelType w:val="hybridMultilevel"/>
    <w:tmpl w:val="847AAA70"/>
    <w:lvl w:ilvl="0" w:tplc="124A278A">
      <w:start w:val="1"/>
      <w:numFmt w:val="bullet"/>
      <w:lvlText w:val="*"/>
      <w:lvlJc w:val="left"/>
      <w:pPr>
        <w:ind w:left="720" w:hanging="360"/>
      </w:pPr>
      <w:rPr>
        <w:rFonts w:ascii="Gill Sans MT" w:hAnsi="Gill Sans MT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10E2F"/>
    <w:multiLevelType w:val="hybridMultilevel"/>
    <w:tmpl w:val="82128FC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B055B0"/>
    <w:multiLevelType w:val="hybridMultilevel"/>
    <w:tmpl w:val="ED02E7B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254C1"/>
    <w:multiLevelType w:val="hybridMultilevel"/>
    <w:tmpl w:val="5EA8B39A"/>
    <w:lvl w:ilvl="0" w:tplc="687A802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  <w:szCs w:val="18"/>
      </w:rPr>
    </w:lvl>
    <w:lvl w:ilvl="1" w:tplc="687A8020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F051C"/>
    <w:multiLevelType w:val="hybridMultilevel"/>
    <w:tmpl w:val="45984F0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2C571B"/>
    <w:multiLevelType w:val="hybridMultilevel"/>
    <w:tmpl w:val="B9E4E0E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0812B8"/>
    <w:multiLevelType w:val="hybridMultilevel"/>
    <w:tmpl w:val="B9EACF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40E8A"/>
    <w:multiLevelType w:val="hybridMultilevel"/>
    <w:tmpl w:val="D7A09AE0"/>
    <w:lvl w:ilvl="0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6D0D61F1"/>
    <w:multiLevelType w:val="hybridMultilevel"/>
    <w:tmpl w:val="5E123ED2"/>
    <w:lvl w:ilvl="0" w:tplc="0816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19"/>
  </w:num>
  <w:num w:numId="5">
    <w:abstractNumId w:val="3"/>
  </w:num>
  <w:num w:numId="6">
    <w:abstractNumId w:val="6"/>
  </w:num>
  <w:num w:numId="7">
    <w:abstractNumId w:val="24"/>
  </w:num>
  <w:num w:numId="8">
    <w:abstractNumId w:val="26"/>
  </w:num>
  <w:num w:numId="9">
    <w:abstractNumId w:val="18"/>
  </w:num>
  <w:num w:numId="10">
    <w:abstractNumId w:val="5"/>
  </w:num>
  <w:num w:numId="11">
    <w:abstractNumId w:val="21"/>
  </w:num>
  <w:num w:numId="12">
    <w:abstractNumId w:val="25"/>
  </w:num>
  <w:num w:numId="13">
    <w:abstractNumId w:val="15"/>
  </w:num>
  <w:num w:numId="14">
    <w:abstractNumId w:val="8"/>
  </w:num>
  <w:num w:numId="15">
    <w:abstractNumId w:val="2"/>
  </w:num>
  <w:num w:numId="16">
    <w:abstractNumId w:val="27"/>
  </w:num>
  <w:num w:numId="17">
    <w:abstractNumId w:val="4"/>
  </w:num>
  <w:num w:numId="18">
    <w:abstractNumId w:val="23"/>
  </w:num>
  <w:num w:numId="19">
    <w:abstractNumId w:val="10"/>
  </w:num>
  <w:num w:numId="20">
    <w:abstractNumId w:val="11"/>
  </w:num>
  <w:num w:numId="21">
    <w:abstractNumId w:val="28"/>
  </w:num>
  <w:num w:numId="22">
    <w:abstractNumId w:val="14"/>
  </w:num>
  <w:num w:numId="23">
    <w:abstractNumId w:val="7"/>
  </w:num>
  <w:num w:numId="24">
    <w:abstractNumId w:val="22"/>
  </w:num>
  <w:num w:numId="2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2"/>
  </w:num>
  <w:num w:numId="28">
    <w:abstractNumId w:val="20"/>
  </w:num>
  <w:num w:numId="29">
    <w:abstractNumId w:val="16"/>
  </w:num>
  <w:num w:numId="30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6"/>
    <w:rsid w:val="00026F34"/>
    <w:rsid w:val="00050F63"/>
    <w:rsid w:val="00054CAA"/>
    <w:rsid w:val="000566FA"/>
    <w:rsid w:val="0005689B"/>
    <w:rsid w:val="00056C3A"/>
    <w:rsid w:val="00057D95"/>
    <w:rsid w:val="00060E0B"/>
    <w:rsid w:val="00071CC7"/>
    <w:rsid w:val="0007622F"/>
    <w:rsid w:val="00082B77"/>
    <w:rsid w:val="00087376"/>
    <w:rsid w:val="000A146B"/>
    <w:rsid w:val="000A2AA9"/>
    <w:rsid w:val="000B1B16"/>
    <w:rsid w:val="000C1767"/>
    <w:rsid w:val="000C3469"/>
    <w:rsid w:val="000C753B"/>
    <w:rsid w:val="0012006D"/>
    <w:rsid w:val="00140F9E"/>
    <w:rsid w:val="00145502"/>
    <w:rsid w:val="0015480F"/>
    <w:rsid w:val="00177F99"/>
    <w:rsid w:val="001A3729"/>
    <w:rsid w:val="001B2AFA"/>
    <w:rsid w:val="00200116"/>
    <w:rsid w:val="0020745A"/>
    <w:rsid w:val="002233C5"/>
    <w:rsid w:val="002274FE"/>
    <w:rsid w:val="002303EB"/>
    <w:rsid w:val="00237B77"/>
    <w:rsid w:val="002419C4"/>
    <w:rsid w:val="00281E4A"/>
    <w:rsid w:val="00285D2E"/>
    <w:rsid w:val="002B03DA"/>
    <w:rsid w:val="002C2030"/>
    <w:rsid w:val="002E2F8D"/>
    <w:rsid w:val="002E361C"/>
    <w:rsid w:val="00314841"/>
    <w:rsid w:val="00320ABE"/>
    <w:rsid w:val="003409FF"/>
    <w:rsid w:val="00357283"/>
    <w:rsid w:val="003616FA"/>
    <w:rsid w:val="003848B7"/>
    <w:rsid w:val="003857E6"/>
    <w:rsid w:val="003A7572"/>
    <w:rsid w:val="003B4A8B"/>
    <w:rsid w:val="003B7905"/>
    <w:rsid w:val="003C0E52"/>
    <w:rsid w:val="003E4757"/>
    <w:rsid w:val="004008F8"/>
    <w:rsid w:val="00417015"/>
    <w:rsid w:val="00421A8F"/>
    <w:rsid w:val="00422026"/>
    <w:rsid w:val="00441808"/>
    <w:rsid w:val="00467076"/>
    <w:rsid w:val="00471348"/>
    <w:rsid w:val="00480134"/>
    <w:rsid w:val="00484EC4"/>
    <w:rsid w:val="00490AD0"/>
    <w:rsid w:val="00492DA5"/>
    <w:rsid w:val="004E1208"/>
    <w:rsid w:val="004E3826"/>
    <w:rsid w:val="004E5BC4"/>
    <w:rsid w:val="004F5922"/>
    <w:rsid w:val="005111EC"/>
    <w:rsid w:val="00531B93"/>
    <w:rsid w:val="00541893"/>
    <w:rsid w:val="00546805"/>
    <w:rsid w:val="00547935"/>
    <w:rsid w:val="005856E7"/>
    <w:rsid w:val="00587F2E"/>
    <w:rsid w:val="00593D6B"/>
    <w:rsid w:val="005A134E"/>
    <w:rsid w:val="005B72F9"/>
    <w:rsid w:val="005B7FBA"/>
    <w:rsid w:val="005C2F9E"/>
    <w:rsid w:val="005F5678"/>
    <w:rsid w:val="00613B5C"/>
    <w:rsid w:val="00647480"/>
    <w:rsid w:val="00654CAF"/>
    <w:rsid w:val="006550D8"/>
    <w:rsid w:val="00674A21"/>
    <w:rsid w:val="00683738"/>
    <w:rsid w:val="0069337C"/>
    <w:rsid w:val="00695F2E"/>
    <w:rsid w:val="006A186D"/>
    <w:rsid w:val="006B3589"/>
    <w:rsid w:val="006B6DAC"/>
    <w:rsid w:val="006C369E"/>
    <w:rsid w:val="00721596"/>
    <w:rsid w:val="00736B35"/>
    <w:rsid w:val="00743675"/>
    <w:rsid w:val="00754BB6"/>
    <w:rsid w:val="00761CA4"/>
    <w:rsid w:val="00764205"/>
    <w:rsid w:val="00775D29"/>
    <w:rsid w:val="00782F70"/>
    <w:rsid w:val="00795583"/>
    <w:rsid w:val="00795B54"/>
    <w:rsid w:val="007C0520"/>
    <w:rsid w:val="007C059E"/>
    <w:rsid w:val="007E5D2F"/>
    <w:rsid w:val="007F4BA0"/>
    <w:rsid w:val="00805AA0"/>
    <w:rsid w:val="00836C57"/>
    <w:rsid w:val="0084753A"/>
    <w:rsid w:val="00850240"/>
    <w:rsid w:val="0086224D"/>
    <w:rsid w:val="00862413"/>
    <w:rsid w:val="00865EE4"/>
    <w:rsid w:val="00885286"/>
    <w:rsid w:val="008A089B"/>
    <w:rsid w:val="008A1B88"/>
    <w:rsid w:val="008C0858"/>
    <w:rsid w:val="008D5916"/>
    <w:rsid w:val="009063AD"/>
    <w:rsid w:val="00911702"/>
    <w:rsid w:val="0091785B"/>
    <w:rsid w:val="00924B7A"/>
    <w:rsid w:val="00933347"/>
    <w:rsid w:val="00937A5D"/>
    <w:rsid w:val="00940C44"/>
    <w:rsid w:val="0094513A"/>
    <w:rsid w:val="009646DA"/>
    <w:rsid w:val="009A288A"/>
    <w:rsid w:val="009B477D"/>
    <w:rsid w:val="009D7EF0"/>
    <w:rsid w:val="00A354C4"/>
    <w:rsid w:val="00A43BA4"/>
    <w:rsid w:val="00A54368"/>
    <w:rsid w:val="00A7223D"/>
    <w:rsid w:val="00A80410"/>
    <w:rsid w:val="00AB45F4"/>
    <w:rsid w:val="00AB6DC0"/>
    <w:rsid w:val="00AC0A75"/>
    <w:rsid w:val="00AE68D7"/>
    <w:rsid w:val="00AF2C8A"/>
    <w:rsid w:val="00AF3E62"/>
    <w:rsid w:val="00AF6065"/>
    <w:rsid w:val="00B01B9B"/>
    <w:rsid w:val="00B20F76"/>
    <w:rsid w:val="00B30772"/>
    <w:rsid w:val="00B6313F"/>
    <w:rsid w:val="00B7630F"/>
    <w:rsid w:val="00B83F3B"/>
    <w:rsid w:val="00B91344"/>
    <w:rsid w:val="00BA0CA7"/>
    <w:rsid w:val="00BD16F1"/>
    <w:rsid w:val="00BF073E"/>
    <w:rsid w:val="00C03687"/>
    <w:rsid w:val="00C11EE9"/>
    <w:rsid w:val="00C14468"/>
    <w:rsid w:val="00C26EA1"/>
    <w:rsid w:val="00C4360F"/>
    <w:rsid w:val="00C4412F"/>
    <w:rsid w:val="00C75B1B"/>
    <w:rsid w:val="00C761F6"/>
    <w:rsid w:val="00CA0EE2"/>
    <w:rsid w:val="00CA4B8E"/>
    <w:rsid w:val="00CA66A6"/>
    <w:rsid w:val="00CB07D2"/>
    <w:rsid w:val="00CC21C9"/>
    <w:rsid w:val="00CC3453"/>
    <w:rsid w:val="00CC55FF"/>
    <w:rsid w:val="00CD7514"/>
    <w:rsid w:val="00CF450F"/>
    <w:rsid w:val="00CF5782"/>
    <w:rsid w:val="00D06E0D"/>
    <w:rsid w:val="00D07160"/>
    <w:rsid w:val="00D16B4F"/>
    <w:rsid w:val="00D17493"/>
    <w:rsid w:val="00D23905"/>
    <w:rsid w:val="00D24250"/>
    <w:rsid w:val="00D27F1D"/>
    <w:rsid w:val="00D34FF1"/>
    <w:rsid w:val="00D44A0D"/>
    <w:rsid w:val="00D44CF0"/>
    <w:rsid w:val="00D531D2"/>
    <w:rsid w:val="00D5417F"/>
    <w:rsid w:val="00D64DDD"/>
    <w:rsid w:val="00D715A1"/>
    <w:rsid w:val="00D72A06"/>
    <w:rsid w:val="00D751DB"/>
    <w:rsid w:val="00D82F76"/>
    <w:rsid w:val="00DA18AB"/>
    <w:rsid w:val="00DB45F5"/>
    <w:rsid w:val="00DE3CA7"/>
    <w:rsid w:val="00DF50F9"/>
    <w:rsid w:val="00E00D02"/>
    <w:rsid w:val="00E13373"/>
    <w:rsid w:val="00E36317"/>
    <w:rsid w:val="00E366D4"/>
    <w:rsid w:val="00E467C4"/>
    <w:rsid w:val="00E52663"/>
    <w:rsid w:val="00E71D3C"/>
    <w:rsid w:val="00E82D19"/>
    <w:rsid w:val="00E844C7"/>
    <w:rsid w:val="00E85097"/>
    <w:rsid w:val="00EA522F"/>
    <w:rsid w:val="00ED74AB"/>
    <w:rsid w:val="00EE4B30"/>
    <w:rsid w:val="00EF3A93"/>
    <w:rsid w:val="00EF60C0"/>
    <w:rsid w:val="00F02086"/>
    <w:rsid w:val="00F05FDA"/>
    <w:rsid w:val="00F10B0E"/>
    <w:rsid w:val="00F27637"/>
    <w:rsid w:val="00F2784F"/>
    <w:rsid w:val="00F4011B"/>
    <w:rsid w:val="00F4344E"/>
    <w:rsid w:val="00F47482"/>
    <w:rsid w:val="00F65C55"/>
    <w:rsid w:val="00F737DF"/>
    <w:rsid w:val="00F75C62"/>
    <w:rsid w:val="00F95962"/>
    <w:rsid w:val="00FA1074"/>
    <w:rsid w:val="00FA6D75"/>
    <w:rsid w:val="00FB153E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F1F7"/>
  <w15:chartTrackingRefBased/>
  <w15:docId w15:val="{C52A4DA1-1DD6-4FE4-98F0-1188CC7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uide-Heading4TOC">
    <w:name w:val="Guide - Heading 4 TOC"/>
    <w:basedOn w:val="Normal"/>
    <w:link w:val="Guide-Heading4TOCChar"/>
    <w:qFormat/>
    <w:rsid w:val="00357283"/>
    <w:pPr>
      <w:keepNext/>
      <w:suppressAutoHyphens/>
      <w:autoSpaceDN w:val="0"/>
      <w:spacing w:after="200" w:line="240" w:lineRule="auto"/>
      <w:textAlignment w:val="baseline"/>
      <w:outlineLvl w:val="3"/>
    </w:pPr>
    <w:rPr>
      <w:rFonts w:ascii="Calibri" w:eastAsia="Times New Roman" w:hAnsi="Calibri" w:cs="Tahoma"/>
      <w:b/>
      <w:smallCaps/>
      <w:kern w:val="3"/>
      <w:sz w:val="28"/>
      <w:szCs w:val="20"/>
      <w:lang w:val="en-GB" w:eastAsia="zh-CN"/>
    </w:rPr>
  </w:style>
  <w:style w:type="character" w:customStyle="1" w:styleId="Guide-Heading4TOCChar">
    <w:name w:val="Guide - Heading 4 TOC Char"/>
    <w:link w:val="Guide-Heading4TOC"/>
    <w:rsid w:val="00357283"/>
    <w:rPr>
      <w:rFonts w:ascii="Calibri" w:eastAsia="Times New Roman" w:hAnsi="Calibri" w:cs="Tahoma"/>
      <w:b/>
      <w:smallCaps/>
      <w:kern w:val="3"/>
      <w:sz w:val="28"/>
      <w:szCs w:val="20"/>
      <w:lang w:val="en-GB" w:eastAsia="zh-CN"/>
    </w:rPr>
  </w:style>
  <w:style w:type="paragraph" w:styleId="PargrafodaLista">
    <w:name w:val="List Paragraph"/>
    <w:basedOn w:val="Normal"/>
    <w:link w:val="PargrafodaListaCarter"/>
    <w:uiPriority w:val="34"/>
    <w:qFormat/>
    <w:rsid w:val="00357283"/>
    <w:pPr>
      <w:ind w:left="720"/>
      <w:contextualSpacing/>
    </w:pPr>
  </w:style>
  <w:style w:type="paragraph" w:customStyle="1" w:styleId="Guide-Bulletsspace">
    <w:name w:val="Guide - Bullets space"/>
    <w:basedOn w:val="Normal"/>
    <w:rsid w:val="005F5678"/>
    <w:pPr>
      <w:numPr>
        <w:numId w:val="1"/>
      </w:num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ahoma"/>
      <w:kern w:val="3"/>
      <w:sz w:val="18"/>
      <w:szCs w:val="18"/>
      <w:shd w:val="clear" w:color="auto" w:fill="FFFFFF"/>
      <w:lang w:val="en-GB" w:eastAsia="en-GB"/>
    </w:rPr>
  </w:style>
  <w:style w:type="paragraph" w:customStyle="1" w:styleId="Guide-Heading6">
    <w:name w:val="Guide - Heading 6"/>
    <w:basedOn w:val="Normal"/>
    <w:qFormat/>
    <w:rsid w:val="007C059E"/>
    <w:pPr>
      <w:keepNext/>
      <w:suppressAutoHyphens/>
      <w:autoSpaceDN w:val="0"/>
      <w:spacing w:before="200" w:after="200" w:line="240" w:lineRule="auto"/>
      <w:jc w:val="both"/>
      <w:textAlignment w:val="baseline"/>
      <w:outlineLvl w:val="5"/>
    </w:pPr>
    <w:rPr>
      <w:rFonts w:ascii="Calibri" w:eastAsia="Times New Roman" w:hAnsi="Calibri" w:cs="Tahoma"/>
      <w:b/>
      <w:smallCaps/>
      <w:kern w:val="3"/>
      <w:sz w:val="20"/>
      <w:szCs w:val="28"/>
      <w:lang w:val="en-GB" w:eastAsia="zh-CN"/>
    </w:rPr>
  </w:style>
  <w:style w:type="paragraph" w:customStyle="1" w:styleId="Guide-Normal">
    <w:name w:val="Guide - Normal"/>
    <w:basedOn w:val="Normal"/>
    <w:link w:val="Guide-NormalChar"/>
    <w:rsid w:val="004E3826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ahoma"/>
      <w:kern w:val="3"/>
      <w:sz w:val="18"/>
      <w:szCs w:val="18"/>
      <w:shd w:val="clear" w:color="auto" w:fill="FFFFFF"/>
      <w:lang w:val="en-GB" w:eastAsia="en-GB"/>
    </w:rPr>
  </w:style>
  <w:style w:type="character" w:customStyle="1" w:styleId="Guide-NormalChar">
    <w:name w:val="Guide - Normal Char"/>
    <w:link w:val="Guide-Normal"/>
    <w:rsid w:val="004E3826"/>
    <w:rPr>
      <w:rFonts w:ascii="Calibri" w:eastAsia="Times New Roman" w:hAnsi="Calibri" w:cs="Tahoma"/>
      <w:kern w:val="3"/>
      <w:sz w:val="18"/>
      <w:szCs w:val="18"/>
      <w:lang w:val="en-GB" w:eastAsia="en-GB"/>
    </w:rPr>
  </w:style>
  <w:style w:type="paragraph" w:styleId="Textodenotaderodap">
    <w:name w:val="footnote text"/>
    <w:aliases w:val="Schriftart: 9 pt,Schriftart: 10 pt,Schriftart: 8 pt,WB-Fußnotentext,WB-Fußnotentext Char Char,WB-Fußnotentext Char,stile 1,Footnote1,Footnote2,Footnote3,Footnote4,Footnote5,Footnote6,Footnote7,Footnote8,Footnote9,Footnote10,fn,s"/>
    <w:basedOn w:val="Normal"/>
    <w:link w:val="TextodenotaderodapCarter"/>
    <w:uiPriority w:val="99"/>
    <w:qFormat/>
    <w:rsid w:val="004E5BC4"/>
    <w:pPr>
      <w:spacing w:after="0" w:line="240" w:lineRule="auto"/>
    </w:pPr>
    <w:rPr>
      <w:rFonts w:ascii="Cambria" w:eastAsia="Times New Roman" w:hAnsi="Cambria" w:cs="Times New Roman"/>
      <w:smallCaps/>
      <w:sz w:val="20"/>
      <w:szCs w:val="20"/>
      <w:lang w:val="fr-BE" w:eastAsia="zh-CN"/>
    </w:rPr>
  </w:style>
  <w:style w:type="character" w:customStyle="1" w:styleId="TextodenotaderodapCarter">
    <w:name w:val="Texto de nota de rodapé Caráter"/>
    <w:aliases w:val="Schriftart: 9 pt Caráter,Schriftart: 10 pt Caráter,Schriftart: 8 pt Caráter,WB-Fußnotentext Caráter,WB-Fußnotentext Char Char Caráter,WB-Fußnotentext Char Caráter,stile 1 Caráter,Footnote1 Caráter,Footnote2 Caráter"/>
    <w:basedOn w:val="Tipodeletrapredefinidodopargrafo"/>
    <w:link w:val="Textodenotaderodap"/>
    <w:uiPriority w:val="99"/>
    <w:rsid w:val="004E5BC4"/>
    <w:rPr>
      <w:rFonts w:ascii="Cambria" w:eastAsia="Times New Roman" w:hAnsi="Cambria" w:cs="Times New Roman"/>
      <w:smallCaps/>
      <w:sz w:val="20"/>
      <w:szCs w:val="20"/>
      <w:lang w:val="fr-BE" w:eastAsia="zh-CN"/>
    </w:rPr>
  </w:style>
  <w:style w:type="character" w:styleId="Refdenotaderodap">
    <w:name w:val="footnote reference"/>
    <w:aliases w:val="Footnote symbol,Footnote reference number,Times 10 Point,Exposant 3 Point,Ref,de nota al pie,note TESI,SUPERS,EN Footnote Reference,EN Footnote text,Footnote Reference Number,Footnote Reference_LVL6,Footnote Reference_LVL61,R"/>
    <w:link w:val="Odwo0142anieprzypisu"/>
    <w:uiPriority w:val="99"/>
    <w:qFormat/>
    <w:rsid w:val="004E5BC4"/>
    <w:rPr>
      <w:vertAlign w:val="superscript"/>
    </w:rPr>
  </w:style>
  <w:style w:type="paragraph" w:customStyle="1" w:styleId="Odwo0142anieprzypisu">
    <w:name w:val="Odwo&lt;0142&gt;anie przypisu"/>
    <w:aliases w:val="SUPER,BVI fnr Char1 Char,fr"/>
    <w:basedOn w:val="Normal"/>
    <w:link w:val="Refdenotaderodap"/>
    <w:uiPriority w:val="99"/>
    <w:rsid w:val="004E5BC4"/>
    <w:pPr>
      <w:spacing w:before="120" w:line="240" w:lineRule="exact"/>
      <w:jc w:val="both"/>
    </w:pPr>
    <w:rPr>
      <w:vertAlign w:val="superscript"/>
    </w:rPr>
  </w:style>
  <w:style w:type="paragraph" w:customStyle="1" w:styleId="Text4">
    <w:name w:val="Text 4"/>
    <w:basedOn w:val="Normal"/>
    <w:rsid w:val="00441808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082B77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val="en-GB" w:eastAsia="zh-CN"/>
    </w:rPr>
  </w:style>
  <w:style w:type="character" w:styleId="Hiperligao">
    <w:name w:val="Hyperlink"/>
    <w:uiPriority w:val="99"/>
    <w:rsid w:val="00082B77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1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14841"/>
  </w:style>
  <w:style w:type="paragraph" w:styleId="Rodap">
    <w:name w:val="footer"/>
    <w:basedOn w:val="Normal"/>
    <w:link w:val="RodapCarter"/>
    <w:uiPriority w:val="99"/>
    <w:unhideWhenUsed/>
    <w:rsid w:val="0031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14841"/>
  </w:style>
  <w:style w:type="paragraph" w:styleId="Corpodetexto">
    <w:name w:val="Body Text"/>
    <w:basedOn w:val="Normal"/>
    <w:link w:val="CorpodetextoCarter"/>
    <w:uiPriority w:val="1"/>
    <w:qFormat/>
    <w:rsid w:val="00FA6D75"/>
    <w:pPr>
      <w:widowControl w:val="0"/>
      <w:spacing w:before="199" w:after="0" w:line="240" w:lineRule="auto"/>
      <w:ind w:left="62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FA6D75"/>
    <w:rPr>
      <w:rFonts w:ascii="Times New Roman" w:eastAsia="Times New Roman" w:hAnsi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A6D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39"/>
    <w:rsid w:val="00C2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CA66A6"/>
    <w:rPr>
      <w:color w:val="605E5C"/>
      <w:shd w:val="clear" w:color="auto" w:fill="E1DFDD"/>
    </w:rPr>
  </w:style>
  <w:style w:type="table" w:styleId="TabeladeGrelha1Clara-Destaque5">
    <w:name w:val="Grid Table 1 Light Accent 5"/>
    <w:basedOn w:val="Tabelanormal"/>
    <w:uiPriority w:val="46"/>
    <w:rsid w:val="00CD751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5Escura-Destaque4">
    <w:name w:val="Grid Table 5 Dark Accent 4"/>
    <w:basedOn w:val="Tabelanormal"/>
    <w:uiPriority w:val="50"/>
    <w:rsid w:val="00CD75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elha5Escura-Destaque6">
    <w:name w:val="Grid Table 5 Dark Accent 6"/>
    <w:basedOn w:val="Tabelanormal"/>
    <w:uiPriority w:val="50"/>
    <w:rsid w:val="00F278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elha5Escura-Destaque2">
    <w:name w:val="Grid Table 5 Dark Accent 2"/>
    <w:basedOn w:val="Tabelanormal"/>
    <w:uiPriority w:val="50"/>
    <w:rsid w:val="00A354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elha5Escura-Destaque1">
    <w:name w:val="Grid Table 5 Dark Accent 1"/>
    <w:basedOn w:val="Tabelanormal"/>
    <w:uiPriority w:val="50"/>
    <w:rsid w:val="007215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locked/>
    <w:rsid w:val="000C3469"/>
  </w:style>
  <w:style w:type="paragraph" w:styleId="Textodebalo">
    <w:name w:val="Balloon Text"/>
    <w:basedOn w:val="Normal"/>
    <w:link w:val="TextodebaloCarter"/>
    <w:uiPriority w:val="99"/>
    <w:semiHidden/>
    <w:unhideWhenUsed/>
    <w:rsid w:val="009B4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B4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programmes/erasmus-plus/sites/erasmusplus2/files/erasmus-plus-programme-guide-2019_pt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4FE0D8E9071A4F9C270CD3D3D17461" ma:contentTypeVersion="10" ma:contentTypeDescription="Criar um novo documento." ma:contentTypeScope="" ma:versionID="2aa91a3828e0751e5e990e180c11291d">
  <xsd:schema xmlns:xsd="http://www.w3.org/2001/XMLSchema" xmlns:xs="http://www.w3.org/2001/XMLSchema" xmlns:p="http://schemas.microsoft.com/office/2006/metadata/properties" xmlns:ns2="b7b9da82-d3de-48fa-ab3b-8defd2a167d0" xmlns:ns3="85810a00-730b-4f3b-9944-25dd2bca15bc" targetNamespace="http://schemas.microsoft.com/office/2006/metadata/properties" ma:root="true" ma:fieldsID="50a44496793149007a5c884801206ae5" ns2:_="" ns3:_="">
    <xsd:import namespace="b7b9da82-d3de-48fa-ab3b-8defd2a167d0"/>
    <xsd:import namespace="85810a00-730b-4f3b-9944-25dd2bca15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9da82-d3de-48fa-ab3b-8defd2a167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Partilhado Pela Última Vez Por Utilizado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Partilhado Pela Última Vez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10a00-730b-4f3b-9944-25dd2bca1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7b9da82-d3de-48fa-ab3b-8defd2a167d0">TQKX25ZZWEZS-630058377-956908</_dlc_DocId>
    <_dlc_DocIdUrl xmlns="b7b9da82-d3de-48fa-ab3b-8defd2a167d0">
      <Url>https://proalv.sharepoint.com/sites/FileShare/_layouts/15/DocIdRedir.aspx?ID=TQKX25ZZWEZS-630058377-956908</Url>
      <Description>TQKX25ZZWEZS-630058377-956908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D62AC-1D4B-422C-914D-60DF17FB8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9da82-d3de-48fa-ab3b-8defd2a167d0"/>
    <ds:schemaRef ds:uri="85810a00-730b-4f3b-9944-25dd2bca1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71F36-047E-4CD3-A7FB-62F532560E3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901BB2-D898-48A0-A3EC-C7F7F78128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89979-6CD0-4672-ABBE-E353A0DACF5C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85810a00-730b-4f3b-9944-25dd2bca15bc"/>
    <ds:schemaRef ds:uri="http://schemas.microsoft.com/office/infopath/2007/PartnerControls"/>
    <ds:schemaRef ds:uri="http://purl.org/dc/terms/"/>
    <ds:schemaRef ds:uri="http://schemas.microsoft.com/office/2006/documentManagement/types"/>
    <ds:schemaRef ds:uri="b7b9da82-d3de-48fa-ab3b-8defd2a167d0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D5DC0E5-090B-4B7D-B323-B772BE92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1712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Reis</dc:creator>
  <cp:keywords/>
  <dc:description/>
  <cp:lastModifiedBy>Joana Godinho</cp:lastModifiedBy>
  <cp:revision>59</cp:revision>
  <cp:lastPrinted>2019-02-19T17:10:00Z</cp:lastPrinted>
  <dcterms:created xsi:type="dcterms:W3CDTF">2019-02-19T15:33:00Z</dcterms:created>
  <dcterms:modified xsi:type="dcterms:W3CDTF">2019-02-20T10:56:00Z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0x010100C54FE0D8E9071A4F9C270CD3D3D17461</vt:lpwstr>
  </property>
  <property fmtid="{D5CDD505-2E9C-101B-9397-08002B2CF9AE}" pid="3" name="AuthorIds_UIVersion_5120">
    <vt:lpwstr>46</vt:lpwstr>
  </property>
  <property fmtid="{D5CDD505-2E9C-101B-9397-08002B2CF9AE}" pid="4" name="_dlc_DocIdItemGuid">
    <vt:lpwstr>b499c3f5-7c7f-41f0-906e-2c3a66c9d647</vt:lpwstr>
  </property>
</Properties>
</file>