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6E" w:rsidRPr="00742A6E" w:rsidRDefault="00742A6E" w:rsidP="00742A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A6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United States</w:t>
      </w:r>
    </w:p>
    <w:p w:rsidR="00742A6E" w:rsidRPr="00742A6E" w:rsidRDefault="00742A6E" w:rsidP="0074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hyperlink r:id="rId4" w:tooltip="United States Environmental Protection Agency" w:history="1"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United States </w:t>
        </w:r>
        <w:proofErr w:type="spellStart"/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Environmental</w:t>
        </w:r>
        <w:proofErr w:type="spellEnd"/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Protection Agency</w:t>
        </w:r>
      </w:hyperlink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(EPA) has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developed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Air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Index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report air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This AQI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divided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into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six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categories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indicating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increasing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levels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health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concern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An AQI value over 300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represents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hazardous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below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50 the air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good.</w:t>
      </w:r>
      <w:hyperlink r:id="rId5" w:anchor="cite_note-aqi_basic-10" w:history="1"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r-FR"/>
          </w:rPr>
          <w:t>[10]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6"/>
      </w:tblGrid>
      <w:tr w:rsidR="00742A6E" w:rsidRPr="00742A6E" w:rsidTr="00742A6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7200" w:type="dxa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2"/>
              <w:gridCol w:w="2304"/>
              <w:gridCol w:w="2664"/>
            </w:tblGrid>
            <w:tr w:rsidR="00742A6E" w:rsidRPr="00742A6E">
              <w:trPr>
                <w:tblCellSpacing w:w="0" w:type="dxa"/>
              </w:trPr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3366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2A6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 xml:space="preserve">Air </w:t>
                  </w:r>
                  <w:proofErr w:type="spellStart"/>
                  <w:r w:rsidRPr="00742A6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Quality</w:t>
                  </w:r>
                  <w:proofErr w:type="spellEnd"/>
                  <w:r w:rsidRPr="00742A6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 xml:space="preserve"> Index (AQI) Values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3366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2A6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 xml:space="preserve">Levels of </w:t>
                  </w:r>
                  <w:proofErr w:type="spellStart"/>
                  <w:r w:rsidRPr="00742A6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Health</w:t>
                  </w:r>
                  <w:proofErr w:type="spellEnd"/>
                  <w:r w:rsidRPr="00742A6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742A6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Concern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3366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42A6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Colors</w:t>
                  </w:r>
                  <w:proofErr w:type="spellEnd"/>
                </w:p>
              </w:tc>
            </w:tr>
            <w:tr w:rsidR="00742A6E" w:rsidRPr="00742A6E">
              <w:trPr>
                <w:tblCellSpacing w:w="0" w:type="dxa"/>
              </w:trPr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E400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0 to 50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E400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Good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E400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Green</w:t>
                  </w:r>
                </w:p>
              </w:tc>
            </w:tr>
            <w:tr w:rsidR="00742A6E" w:rsidRPr="00742A6E">
              <w:trPr>
                <w:tblCellSpacing w:w="0" w:type="dxa"/>
              </w:trPr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51 to 100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4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Moderate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Yellow</w:t>
                  </w:r>
                </w:p>
              </w:tc>
            </w:tr>
            <w:tr w:rsidR="00742A6E" w:rsidRPr="00742A6E">
              <w:trPr>
                <w:tblCellSpacing w:w="0" w:type="dxa"/>
              </w:trPr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7E00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101 to 150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7E00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4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Unhealthy</w:t>
                  </w:r>
                  <w:proofErr w:type="spellEnd"/>
                  <w:r w:rsidRPr="0074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for Sensitive Groups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7E00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Orange</w:t>
                  </w:r>
                </w:p>
              </w:tc>
            </w:tr>
            <w:tr w:rsidR="00742A6E" w:rsidRPr="00742A6E">
              <w:trPr>
                <w:tblCellSpacing w:w="0" w:type="dxa"/>
              </w:trPr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2A6E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151 to 200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42A6E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Unhealthy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42A6E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Red</w:t>
                  </w:r>
                  <w:proofErr w:type="spellEnd"/>
                </w:p>
              </w:tc>
            </w:tr>
            <w:tr w:rsidR="00742A6E" w:rsidRPr="00742A6E">
              <w:trPr>
                <w:tblCellSpacing w:w="0" w:type="dxa"/>
              </w:trPr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004C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2A6E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201 to 300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004C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42A6E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Very</w:t>
                  </w:r>
                  <w:proofErr w:type="spellEnd"/>
                  <w:r w:rsidRPr="00742A6E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742A6E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Unhealthy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004C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42A6E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Purple</w:t>
                  </w:r>
                  <w:proofErr w:type="spellEnd"/>
                </w:p>
              </w:tc>
            </w:tr>
            <w:tr w:rsidR="00742A6E" w:rsidRPr="00742A6E">
              <w:trPr>
                <w:tblCellSpacing w:w="0" w:type="dxa"/>
              </w:trPr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7E0023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2A6E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301 to 500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7E0023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42A6E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Hazardous</w:t>
                  </w:r>
                  <w:proofErr w:type="spellEnd"/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7E0023"/>
                  <w:hideMark/>
                </w:tcPr>
                <w:p w:rsidR="00742A6E" w:rsidRPr="00742A6E" w:rsidRDefault="00742A6E" w:rsidP="0074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742A6E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Maroon</w:t>
                  </w:r>
                  <w:proofErr w:type="spellEnd"/>
                </w:p>
              </w:tc>
            </w:tr>
          </w:tbl>
          <w:p w:rsidR="00742A6E" w:rsidRPr="00742A6E" w:rsidRDefault="00742A6E" w:rsidP="0074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bookmarkStart w:id="0" w:name="_GoBack"/>
        <w:bookmarkEnd w:id="0"/>
      </w:tr>
    </w:tbl>
    <w:p w:rsidR="00742A6E" w:rsidRPr="00742A6E" w:rsidRDefault="00742A6E" w:rsidP="0074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AQI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based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the five "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criteria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pollutants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regulated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under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hyperlink r:id="rId6" w:tooltip="Clean Air Act (USA) (1990)" w:history="1"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Clean Air </w:t>
        </w:r>
        <w:proofErr w:type="spellStart"/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Act</w:t>
        </w:r>
        <w:proofErr w:type="spellEnd"/>
      </w:hyperlink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ground-level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ozone,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particulate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matter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carbon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monoxide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sulfur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dioxide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nitrogen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dioxide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EPA has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established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7" w:tooltip="National Ambient Air Quality Standards" w:history="1"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National Ambient Air </w:t>
        </w:r>
        <w:proofErr w:type="spellStart"/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Quality</w:t>
        </w:r>
        <w:proofErr w:type="spellEnd"/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Standards</w:t>
        </w:r>
      </w:hyperlink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(NAAQS) for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each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pollutants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order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protect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public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health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An AQI value of 100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generally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corresponds to the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level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NAAQS for the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pollutant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hyperlink r:id="rId8" w:anchor="cite_note-aqi_basic-10" w:history="1"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r-FR"/>
          </w:rPr>
          <w:t>[10]</w:t>
        </w:r>
      </w:hyperlink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hyperlink r:id="rId9" w:tooltip="Clean Air Act (USA) (1990)" w:history="1"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Clean Air </w:t>
        </w:r>
        <w:proofErr w:type="spellStart"/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Act</w:t>
        </w:r>
        <w:proofErr w:type="spellEnd"/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(USA) (1990)</w:t>
        </w:r>
      </w:hyperlink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requires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EPA to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review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its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0" w:tooltip="National Ambient Air Quality Standards" w:history="1"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National Ambient Air </w:t>
        </w:r>
        <w:proofErr w:type="spellStart"/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Quality</w:t>
        </w:r>
        <w:proofErr w:type="spellEnd"/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Standards</w:t>
        </w:r>
      </w:hyperlink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every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five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years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reflect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evolving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health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effects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information. The Air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Index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adjusted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periodically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reflect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changes.</w:t>
      </w:r>
    </w:p>
    <w:p w:rsidR="00742A6E" w:rsidRPr="00742A6E" w:rsidRDefault="00742A6E" w:rsidP="00742A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742A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Computing</w:t>
      </w:r>
      <w:proofErr w:type="spellEnd"/>
      <w:r w:rsidRPr="00742A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the AQI</w:t>
      </w:r>
    </w:p>
    <w:p w:rsidR="00742A6E" w:rsidRDefault="00742A6E" w:rsidP="0074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</w:pPr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air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index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hyperlink r:id="rId11" w:tooltip="Piecewise linear function" w:history="1">
        <w:proofErr w:type="spellStart"/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piecewise</w:t>
        </w:r>
        <w:proofErr w:type="spellEnd"/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linear</w:t>
        </w:r>
        <w:proofErr w:type="spellEnd"/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function</w:t>
        </w:r>
        <w:proofErr w:type="spellEnd"/>
      </w:hyperlink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pollutant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concentration. At the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boundary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between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AQI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categories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there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discontinuous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jump of one AQI unit. To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convert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concentration to AQI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equation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hyperlink r:id="rId12" w:anchor="cite_note-34" w:history="1"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r-FR"/>
          </w:rPr>
          <w:t>[34]</w:t>
        </w:r>
      </w:hyperlink>
    </w:p>
    <w:p w:rsidR="00742A6E" w:rsidRPr="00742A6E" w:rsidRDefault="00742A6E" w:rsidP="00742A6E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6BFB35AB" wp14:editId="45E9194F">
            <wp:extent cx="7506794" cy="432435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12902" cy="432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A6E" w:rsidRPr="00742A6E" w:rsidRDefault="00742A6E" w:rsidP="0074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A6E"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  <w:t xml:space="preserve">I = I h i g h − I l o w C h i g h − C l o w ( C − C l o w ) + I l o w {\displaystyle I={\frac {I_{high}-I_{low}}{C_{high}-C_{low}}}(C-C_{low})+I_{low}} </w:t>
      </w:r>
      <w:r w:rsidRPr="00742A6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Rectangle 12" descr="I={\frac {I_{high}-I_{low}}{C_{high}-C_{low}}}(C-C_{low})+I_{low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042E5B" id="Rectangle 12" o:spid="_x0000_s1026" alt="I={\frac {I_{high}-I_{low}}{C_{high}-C_{low}}}(C-C_{low})+I_{low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fhiM+4gIAAAM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Suppose </w:t>
      </w:r>
      <w:proofErr w:type="gram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monitor records a 24-hour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average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particle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(PM</w:t>
      </w:r>
      <w:r w:rsidRPr="00742A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2.5</w:t>
      </w:r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concentration of 12.0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micrograms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cubic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meter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equation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above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results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an AQI of:</w:t>
      </w:r>
    </w:p>
    <w:p w:rsidR="00742A6E" w:rsidRPr="00742A6E" w:rsidRDefault="00742A6E" w:rsidP="00742A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A6E"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  <w:t xml:space="preserve">50 − 0 12.0 − 0 ( 12.0 − 0 ) + 0 = 50 {\displaystyle {\frac {50-0}{12.0-0}}(12.0-0)+0=50} </w:t>
      </w:r>
      <w:r>
        <w:rPr>
          <w:noProof/>
          <w:lang w:eastAsia="fr-FR"/>
        </w:rPr>
        <w:drawing>
          <wp:inline distT="0" distB="0" distL="0" distR="0" wp14:anchorId="69FF1B34" wp14:editId="37FF15D0">
            <wp:extent cx="2228850" cy="457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A6E" w:rsidRPr="00742A6E" w:rsidRDefault="00742A6E" w:rsidP="0074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corresponding</w:t>
      </w:r>
      <w:proofErr w:type="spellEnd"/>
      <w:proofErr w:type="gram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air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"Good" range. To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convert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air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pollutant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concentration to an AQI, EPA has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developed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calculator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hyperlink r:id="rId15" w:anchor="cite_note-38" w:history="1"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r-FR"/>
          </w:rPr>
          <w:t>[38]</w:t>
        </w:r>
      </w:hyperlink>
    </w:p>
    <w:p w:rsidR="00742A6E" w:rsidRPr="00742A6E" w:rsidRDefault="00742A6E" w:rsidP="0074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If multiple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pollutants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measured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a monitoring site,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then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largest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"dominant" AQI value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reported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the location. The ozone AQI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between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100 and 300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computed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selecting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larger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AQI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calculated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1-hour ozone value and the AQI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computed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8-hour ozone value.</w:t>
      </w:r>
    </w:p>
    <w:p w:rsidR="00742A6E" w:rsidRPr="00742A6E" w:rsidRDefault="00742A6E" w:rsidP="0074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8-hour ozone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averages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 not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define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AQI values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greater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300; AQI values of 301 or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greater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calculated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1-hour ozone concentrations. 1-hour SO</w:t>
      </w:r>
      <w:r w:rsidRPr="00742A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2</w:t>
      </w:r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values do not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define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higher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AQI values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greater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200. AQI values of 201 or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greater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calculated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24-hour SO</w:t>
      </w:r>
      <w:r w:rsidRPr="00742A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2</w:t>
      </w:r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concentrations.</w:t>
      </w:r>
    </w:p>
    <w:p w:rsidR="00742A6E" w:rsidRPr="00742A6E" w:rsidRDefault="00742A6E" w:rsidP="00742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Real time monitoring data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continuous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monitors are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typically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available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1-hour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averages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However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computation of the AQI for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pollutants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requires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averaging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over multiple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hours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data. (For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calculation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ozone AQI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requires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computation of an 8-hour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average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computation of the PM</w:t>
      </w:r>
      <w:r w:rsidRPr="00742A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2.5</w:t>
      </w:r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or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PM</w:t>
      </w:r>
      <w:r w:rsidRPr="00742A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10</w:t>
      </w:r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AQI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requires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24-hour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average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 To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accurately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reflect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current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, the multi-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hour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average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the AQI computation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should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centered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the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current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time, but as concentrations of future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hours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unknown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are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estimate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accurately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EPA uses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surrogate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concentrations to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estimate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multi-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hour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averages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For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reporting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PM</w:t>
      </w:r>
      <w:r w:rsidRPr="00742A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2.5</w:t>
      </w:r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, PM</w:t>
      </w:r>
      <w:r w:rsidRPr="00742A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10</w:t>
      </w:r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ozone air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indices,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surrogate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concentration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called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hyperlink r:id="rId16" w:tooltip="Nowcast (Air Quality Index)" w:history="1">
        <w:proofErr w:type="spellStart"/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NowCast</w:t>
        </w:r>
        <w:proofErr w:type="spellEnd"/>
      </w:hyperlink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Nowcast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particular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type of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weighted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average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more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weight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most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recent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air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quality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data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air pollution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levels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changing</w:t>
      </w:r>
      <w:proofErr w:type="spellEnd"/>
      <w:r w:rsidRPr="00742A6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hyperlink r:id="rId17" w:anchor="cite_note-39" w:history="1"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r-FR"/>
          </w:rPr>
          <w:t>[39</w:t>
        </w:r>
        <w:proofErr w:type="gramStart"/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r-FR"/>
          </w:rPr>
          <w:t>]</w:t>
        </w:r>
        <w:proofErr w:type="gramEnd"/>
      </w:hyperlink>
      <w:hyperlink r:id="rId18" w:anchor="cite_note-40" w:history="1">
        <w:r w:rsidRPr="00742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r-FR"/>
          </w:rPr>
          <w:t>[40]</w:t>
        </w:r>
      </w:hyperlink>
    </w:p>
    <w:p w:rsidR="004466A2" w:rsidRDefault="00742A6E"/>
    <w:sectPr w:rsidR="0044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6E"/>
    <w:rsid w:val="002D2A99"/>
    <w:rsid w:val="00742A6E"/>
    <w:rsid w:val="00C1030A"/>
    <w:rsid w:val="00D13D26"/>
    <w:rsid w:val="00F1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83286-FBB6-4CD2-9E2B-25AA10C6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42A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42A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42A6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42A6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742A6E"/>
  </w:style>
  <w:style w:type="character" w:styleId="Lienhypertexte">
    <w:name w:val="Hyperlink"/>
    <w:basedOn w:val="Policepardfaut"/>
    <w:uiPriority w:val="99"/>
    <w:semiHidden/>
    <w:unhideWhenUsed/>
    <w:rsid w:val="00742A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e-math-mathml-inline">
    <w:name w:val="mwe-math-mathml-inline"/>
    <w:basedOn w:val="Policepardfaut"/>
    <w:rsid w:val="0074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ir_quality_index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en.wikipedia.org/wiki/Air_quality_inde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National_Ambient_Air_Quality_Standards" TargetMode="External"/><Relationship Id="rId12" Type="http://schemas.openxmlformats.org/officeDocument/2006/relationships/hyperlink" Target="https://en.wikipedia.org/wiki/Air_quality_index" TargetMode="External"/><Relationship Id="rId17" Type="http://schemas.openxmlformats.org/officeDocument/2006/relationships/hyperlink" Target="https://en.wikipedia.org/wiki/Air_quality_inde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Nowcast_%28Air_Quality_Index%2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Clean_Air_Act_%28USA%29_%281990%29" TargetMode="External"/><Relationship Id="rId11" Type="http://schemas.openxmlformats.org/officeDocument/2006/relationships/hyperlink" Target="https://en.wikipedia.org/wiki/Piecewise_linear_function" TargetMode="External"/><Relationship Id="rId5" Type="http://schemas.openxmlformats.org/officeDocument/2006/relationships/hyperlink" Target="https://en.wikipedia.org/wiki/Air_quality_index" TargetMode="External"/><Relationship Id="rId15" Type="http://schemas.openxmlformats.org/officeDocument/2006/relationships/hyperlink" Target="https://en.wikipedia.org/wiki/Air_quality_index" TargetMode="External"/><Relationship Id="rId10" Type="http://schemas.openxmlformats.org/officeDocument/2006/relationships/hyperlink" Target="https://en.wikipedia.org/wiki/National_Ambient_Air_Quality_Standard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n.wikipedia.org/wiki/United_States_Environmental_Protection_Agency" TargetMode="External"/><Relationship Id="rId9" Type="http://schemas.openxmlformats.org/officeDocument/2006/relationships/hyperlink" Target="https://en.wikipedia.org/wiki/Clean_Air_Act_%28USA%29_%281990%29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751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</dc:creator>
  <cp:keywords/>
  <dc:description/>
  <cp:lastModifiedBy>ludo</cp:lastModifiedBy>
  <cp:revision>1</cp:revision>
  <dcterms:created xsi:type="dcterms:W3CDTF">2016-11-19T05:45:00Z</dcterms:created>
  <dcterms:modified xsi:type="dcterms:W3CDTF">2016-11-19T05:49:00Z</dcterms:modified>
</cp:coreProperties>
</file>